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JTAPI/572/2025 vom 27. Mai 2025</w:t>
      </w:r>
    </w:p>
    <w:p>
      <w:r>
        <w:t>GE Cour de justice, 2025-05-27, FR</w:t>
      </w:r>
    </w:p>
    <w:p>
      <w:r>
        <w:rPr>
          <w:b/>
        </w:rPr>
        <w:t xml:space="preserve">Quelle: </w:t>
      </w:r>
      <w:r>
        <w:t>https://mcp.opencaselaw.ch/entscheid/ge_gerichte_JTAPI_572_2025</w:t>
      </w:r>
    </w:p>
    <w:p>
      <w:r>
        <w:t>FR: GE_GERICHTE JTAPI/572/2025 du 27 mai 2025</w:t>
      </w:r>
    </w:p>
    <w:p>
      <w:r>
        <w:t>IT: GE_GERICHTE JTAPI/572/2025 del 27 maggio 2025</w:t>
      </w:r>
    </w:p>
    <w:p>
      <w:pPr>
        <w:pStyle w:val="Heading2"/>
      </w:pPr>
      <w:r>
        <w:t>Erwägungen</w:t>
      </w:r>
    </w:p>
    <w:p>
      <w:r>
        <w:rPr>
          <w:b/>
        </w:rPr>
        <w:t>E. 26</w:t>
      </w:r>
    </w:p>
    <w:p>
      <w:r>
        <w:t>octobre 2015 au 25 octobre 2018, qu’il ne semble pas avoir respectées. Pour sa part, Mme B______ dispose de connaissances de la langue française, n’exerce aucune activité lucrative et n’a pas démontré d’éléments permettant de retenir une intégration sociale particulièrement marquée en Suisse. Elle a par ailleurs, le 8 décembre 2014, fait l'objet d'une IES prononcée son encontre par le SEM, valable jusqu’au 12 décembre 2018, interdiction qu’elle n’a manifestement pas respectée. À cela s'ajoute, à teneur des pièces produites, qu'il apparaît vraisemblable qu’elle ait quitté le territoire suisse pendant trois ans, soit de 2014 à 2017, avec son fils E______. En effet, aucun élément au dossier ne démontre qu'ils étaient présents sur le territoire suisse durant cette période. Par ailleurs, le fait qu’E______ n’ait été scolarisé qu’à partir du mois d’août 2017 constitue un indice supplémentaire permettant d’établir le départ de Mme B______ avec son fils au Kosovo en 2014 et leur retour en Suisse en 2017. S’ils se heurteront sans doute à des difficultés de réadaptation dans leur pays d’origine, les recourants ne démontrent pas que celles-ci seraient plus graves pour eux que pour n’importe lequel de leurs concitoyens qui se trouverait dans une situation similaire. Âgés aujourd’hui respectivement de 36 et 47 ans, ils sont en bonne santé et ont</w:t>
      </w:r>
    </w:p>
    <w:p>
      <w:r>
        <w:t>- 21/23 - A/499/2024 conservé de fortes attaches au Kosovo, où M. A______ a vécu jusqu’en 2004 et Mme B______ jusqu’en 2009, puis de 2014 à 2017, avec son fils, étant rappelé que les précités y sont par ailleurs retournés à de nombreuses reprises alors qu'ils se trouvaient en Suisse, parfois pour de longues périodes. À cet égard, il convient encore de rappeler que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Ainsi, au vu de leur statut précaire en Suisse, les recourants ne pouvaient à aucun moment ignorer qu’ils risquaient d’être renvoyés dans leur pays d’origine. La famille formant un tout, il convient encore d’examiner si les enfants du couple, âgés actuellement de treize ans et demi (E______), six ans (D______) et bientôt 5 ans (C______), seraient dans un cas d’extrême gravité. Au vu de la jurisprudence susmentionnée sur les enfants adolescents, on peut noter que la situation de l’enfant E______ est complexe. Né en Suisse en 2011, il y est ainsi bien intégré et est aujourd’hui entré dans l’adolescence ; au contact des autres jeunes de son milieu scolaire, il s’éloigne sans doute de plus en plus de ses origines culturelles. Cela étant, il n’a précisément pas encore traversé l’adolescence, période que la jurisprudence susmentionnée considère comme particulièrement importante pour l’intégration socioculturelle. Notons également que E______ est retourné de manière très répétée au Kosovo, où il a même vécu avec sa mère de 2014 à 2017, et qu’il n’est scolarisé à Genève que depuis le mois d’août 2017. Ainsi, quand bien même un retour au Kosovo serait certainement pour lui un moment difficile, notamment en raison du niveau de vie et du système scolaire très différents qui caractérisent la Suisse et son pays d'origine, on ne saurait considérer qu'un tel retour le mettrait dans une situation de détresse dès lors qu'il y sera en compagnie de ses parents, ainsi que de son frère et de sa sœur, que la famille y dispose encore d’attaches fortes vu notamment les divers visas sollicités et obtenus en vue de se rendre dans leur pays d'origine, parfois même pour de longues périodes. Il n’en va a fortiori pas différemment pour les cadets, D______ et C______, l’un étant tout juste scolarisé et l’autre par encore, lesquels, compte tenu de leur très jeune âge, restent encore rattachés dans une large mesure, par le biais de leurs parents, à leur pays d’origine. Au vu de ce qui précède, il sera retenu que l’intégration de E______, D______ et C______ au milieu socio-culturel suisse n’est dès lors pas si profonde qu’un retour dans leur patrie constituerait pour eux un déracinement complet. Il sera enfin rappelé que l’intérêt supérieur des enfants au sens de l’art. 3 par. 1 CDE est de pouvoir vivre durablement auprès de leurs parents, quel que soit l’endroit où ils séjournent. À cet égard, le fait que les recourants envisagent de se séparer ne modifie pas l’analyse qui précède, les parents devant tous deux quitter la Suisse. En conclusion, force est de constater que l’OCPM n’a violé ni le droit conventionnel, ni le droit fédéral, ni encore excédé ou abusé de son pouvoir d’appréciation en rejetant la requête des recourants. Dans ces conditions, le tribunal, qui doit respecter la latitude</w:t>
      </w:r>
    </w:p>
    <w:p>
      <w:r>
        <w:t>- 22/23 - A/499/2024 de jugement conférée à l’OCPM, ne saurait en corriger le résultat en fonction d’une autre conception, sauf à statuer en opportunité, ce que la loi lui interdit de faire (art. 61 al. 2 LPA).</w:t>
      </w:r>
    </w:p>
    <w:p>
      <w:r>
        <w:rPr>
          <w:b/>
        </w:rPr>
        <w:t>E. 27</w:t>
      </w:r>
    </w:p>
    <w:p>
      <w:r>
        <w:t>Selon l’art. 64 al. 1 let. c LEI, dont la teneur n’a pas changé le 1er janvier 2019,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28</w:t>
      </w:r>
    </w:p>
    <w:p>
      <w:r>
        <w:t>En l’espèce, dès lors que l'OCPM a refusé d'accéder à la requête des recourants du 18 mars 2017 et, par conséquent, de soumettre leur dossier avec un préavis positif au SEM, il devait ordonner leur renvoi de Suisse en application de l’art. 64 al. 1 let. c LEI. Aucun élément ne laisse pour le surplus supposer que l’exécution de cette mesure se révélerait impossible, illicite ou inexigible.</w:t>
      </w:r>
    </w:p>
    <w:p>
      <w:r>
        <w:rPr>
          <w:b/>
        </w:rPr>
        <w:t>E. 29</w:t>
      </w:r>
    </w:p>
    <w:p>
      <w:r>
        <w:t>Mal fondé, le recours est rejeté.</w:t>
      </w:r>
    </w:p>
    <w:p>
      <w:r>
        <w:rPr>
          <w:b/>
        </w:rPr>
        <w:t>E. 30</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rPr>
          <w:b/>
        </w:rPr>
        <w:t>E. 31</w:t>
      </w:r>
    </w:p>
    <w:p>
      <w:r>
        <w:t>En vertu des art. 89 al. 2 et 111 al. 2 de la loi sur le Tribunal fédéral du 17 juin 2005 (LTF - RS 173.110), le présent jugement sera communiqué au SEM.</w:t>
      </w:r>
    </w:p>
    <w:p>
      <w:r>
        <w:t>- 23/23 - A/499/2024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