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JTAPI/572/2023 vom 22. Mai 2023</w:t>
      </w:r>
    </w:p>
    <w:p>
      <w:r>
        <w:t>GE Cour de justice, 2023-05-22, FR</w:t>
      </w:r>
    </w:p>
    <w:p>
      <w:r>
        <w:rPr>
          <w:b/>
        </w:rPr>
        <w:t xml:space="preserve">Quelle: </w:t>
      </w:r>
      <w:r>
        <w:t>https://mcp.opencaselaw.ch/entscheid/ge_gerichte_JTAPI_572_2023</w:t>
      </w:r>
    </w:p>
    <w:p>
      <w:r>
        <w:t>FR: GE_GERICHTE JTAPI/572/2023 du 22 mai 2023</w:t>
      </w:r>
    </w:p>
    <w:p>
      <w:r>
        <w:t>IT: GE_GERICHTE JTAPI/572/2023 del 22 maggio 2023</w:t>
      </w:r>
    </w:p>
    <w:p>
      <w:pPr>
        <w:pStyle w:val="Heading2"/>
      </w:pPr>
      <w:r>
        <w:t>Erwägungen</w:t>
      </w:r>
    </w:p>
    <w:p>
      <w:r>
        <w:rPr>
          <w:b/>
        </w:rPr>
        <w:t>E. 32</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(ATA/1798/2019 du 10 décembre 2019 consid. 6 ; ATA/1694/2019 du 19 novembre 2019 consid. 6).</w:t>
      </w:r>
    </w:p>
    <w:p>
      <w:r>
        <w:rPr>
          <w:b/>
        </w:rPr>
        <w:t>E. 33</w:t>
      </w:r>
    </w:p>
    <w:p>
      <w:r>
        <w:t>En l'espèce, le recourant étant dépourvu d'une quelconque autorisation de séjour lui permettant de demeurer en Suisse, son renvoi a été prononcé à juste titre. Pour le surplus, il n'apparaît pas que l'exécution de cette mesure ne serait pas possible, qu'elle serait illicite ou qu'elle ne pourrait être raisonnablement exigée au sens de l'art. 83 LEI.</w:t>
      </w:r>
    </w:p>
    <w:p>
      <w:r>
        <w:rPr>
          <w:b/>
        </w:rPr>
        <w:t>E. 34</w:t>
      </w:r>
    </w:p>
    <w:p>
      <w:r>
        <w:t>Au vu de ce qui précède, le recours sera rejeté et la décision contestée confirmée.</w:t>
      </w:r>
    </w:p>
    <w:p>
      <w:r>
        <w:rPr>
          <w:b/>
        </w:rPr>
        <w:t>E. 35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SEM.</w:t>
      </w:r>
    </w:p>
    <w:p>
      <w:r>
        <w:t>- 14/14 - A/445/2023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