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JTAPI/565/2024 vom 10. Juni 2024</w:t>
      </w:r>
    </w:p>
    <w:p>
      <w:r>
        <w:t>GE Cour de justice, 2024-06-10, FR</w:t>
      </w:r>
    </w:p>
    <w:p>
      <w:r>
        <w:rPr>
          <w:b/>
        </w:rPr>
        <w:t xml:space="preserve">Quelle: </w:t>
      </w:r>
      <w:r>
        <w:t>https://mcp.opencaselaw.ch/entscheid/ge_gerichte_JTAPI_565_2024</w:t>
      </w:r>
    </w:p>
    <w:p>
      <w:r>
        <w:t>FR: GE_GERICHTE JTAPI/565/2024 du 10 juin 2024</w:t>
      </w:r>
    </w:p>
    <w:p>
      <w:r>
        <w:t>IT: GE_GERICHTE JTAPI/565/2024 del 10 giugno 2024</w:t>
      </w:r>
    </w:p>
    <w:p>
      <w:pPr>
        <w:pStyle w:val="Heading2"/>
      </w:pPr>
      <w:r>
        <w:t>Erwägungen</w:t>
      </w:r>
    </w:p>
    <w:p>
      <w:r>
        <w:rPr>
          <w:b/>
        </w:rPr>
        <w:t>E. 15</w:t>
      </w:r>
    </w:p>
    <w:p>
      <w:r>
        <w:t>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rPr>
          <w:b/>
        </w:rPr>
        <w:t>E. 16</w:t>
      </w:r>
    </w:p>
    <w:p>
      <w:r>
        <w:t>En l’espèce, le recourant ne conteste pas avoir encaissé sur son compte personnel des montants qui auraient dû être comptabilisés dans sa société, obtenant ainsi une prestation appréciable en argent qui n'avait été, ni régulièrement déclarée, ni taxée. Les éléments objectifs d'une soustraction consommée sont ainsi réunis.</w:t>
      </w:r>
    </w:p>
    <w:p>
      <w:r>
        <w:rPr>
          <w:b/>
        </w:rPr>
        <w:t>E. 17</w:t>
      </w:r>
    </w:p>
    <w:p>
      <w:r>
        <w:t>Le recourant invoque en revanche son absence de compétences et de connaissances en matière comptable et fiscale. Il s’en était remis au professionnel qu’il avait mandaté pour s’occuper du volet administratif de son entreprise. Il avait d’ailleurs changé de mandataire, après avoir constaté divers manquements de sa part. Or, même sans être au bénéfice d’une formation particulière en fiscalité, il convient de retenir que le recourant, de par son activité professionnelle à titre d’indépendant, disposait des capacités suffisantes pour se rendre compte des conséquences de l’absence d’enregistrement de certaines recettes dans les comptes de sa société. Il indique d'ailleurs avoir attiré l'attention de sa fiduciaire sur ce point. Le fait de ne pas avoir contrôlé son activité constitue un manquement qui peut lui être reproché.</w:t>
      </w:r>
    </w:p>
    <w:p>
      <w:r>
        <w:t>- 8/9 - A/3183/2023 De toute manière, et conformément à la jurisprudence précitée, le fait d'avoir mandaté une fiduciaire ne permet pas de le décharger de ses obligations fiscales.</w:t>
      </w:r>
    </w:p>
    <w:p>
      <w:r>
        <w:rPr>
          <w:b/>
        </w:rPr>
        <w:t>E. 18</w:t>
      </w:r>
    </w:p>
    <w:p>
      <w:r>
        <w:t>C'est pour conclure à juste titre que l'AFC-GE a retenu en l'espèce que les éléments constitutifs d'une soustraction d'impôts sont réunis. Reste toutefois à examiner la quotité des amendes prononcées.</w:t>
      </w:r>
    </w:p>
    <w:p>
      <w:r>
        <w:rPr>
          <w:b/>
        </w:rPr>
        <w:t>E. 19</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rPr>
          <w:b/>
        </w:rPr>
        <w:t>E. 20</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21</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22</w:t>
      </w:r>
    </w:p>
    <w:p>
      <w:r>
        <w:t>En l'espèce, et devant le tribunal, l'AFC-GE propose de ramener la quotité des amendes litigieuses de une fois à 50%, considérant que le recourant a agi par négligence. Le tribunal estime que, ce faisant, elle fait preuve d'une très grande modération et tient compte de l'ensemble des circonstances, relevant que la quotité ainsi retenue est proche du minimum légal de un tiers. Il se ralliera à cette conclusion de l'intimée.</w:t>
      </w:r>
    </w:p>
    <w:p>
      <w:r>
        <w:rPr>
          <w:b/>
        </w:rPr>
        <w:t>E. 23</w:t>
      </w:r>
    </w:p>
    <w:p>
      <w:r>
        <w:t>Le recours sera admis dans cette mesure, et rejeté pour le surplus.</w:t>
      </w:r>
    </w:p>
    <w:p>
      <w:r>
        <w:rPr>
          <w:b/>
        </w:rPr>
        <w:t>E. 24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- 9/9 - A/3183/2023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