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JTAPI/565/2022 vom 25. Mai 2022</w:t>
      </w:r>
    </w:p>
    <w:p>
      <w:r>
        <w:t>GE Cour de justice, 2022-05-25, FR</w:t>
      </w:r>
    </w:p>
    <w:p>
      <w:r>
        <w:rPr>
          <w:b/>
        </w:rPr>
        <w:t xml:space="preserve">Quelle: </w:t>
      </w:r>
      <w:r>
        <w:t>https://mcp.opencaselaw.ch/entscheid/ge_gerichte_JTAPI_565_2022</w:t>
      </w:r>
    </w:p>
    <w:p>
      <w:r>
        <w:t>FR: GE_GERICHTE JTAPI/565/2022 du 25 mai 2022</w:t>
      </w:r>
    </w:p>
    <w:p>
      <w:r>
        <w:t>IT: GE_GERICHTE JTAPI/565/2022 del 25 maggio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rPr>
          <w:b/>
        </w:rPr>
        <w:t>E. 4</w:t>
      </w:r>
    </w:p>
    <w:p>
      <w:r>
        <w:t>En l'espèce, comme relevé plus haut, l'amende contestée a été prononcée à l'encontre de M. A______ en personne. Ainsi, la société n'est pas la destinataire de l'amende et n'a aucun intérêt digne de protection à recourir contre cette sanction puisqu'elle n'est aucunement touchée par celle-ci. La qualité pour recourir lui sera déniée. Seul M. A______, en personne, a donc la qualité pour recourir, en son nom propre uniquement.</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w:t>
      </w:r>
    </w:p>
    <w:p>
      <w:r>
        <w:rPr>
          <w:b/>
        </w:rPr>
        <w:t>E. 6</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7</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w:t>
      </w:r>
    </w:p>
    <w:p>
      <w:r>
        <w:t>- 7/12 - A/3328/2021 que s'il ne peut pas aller au-delà des conclusions des parties, il n'est pas lié par les motifs qu'elles invoquent (art. 69 al. 1 LPA ; cf. ATA/386/2018 du 24 avril 2018 consid. 1b ; ATA/117/2016 du 9 février 2016 consid. 2 ; ATA/723/2015 du 14 juillet 2015 consid. 4a).</w:t>
      </w:r>
    </w:p>
    <w:p>
      <w:r>
        <w:rPr>
          <w:b/>
        </w:rPr>
        <w:t>E. 8</w:t>
      </w:r>
    </w:p>
    <w:p>
      <w:r>
        <w:t>Le litige porte sur le bien-fondé de l'amende administrative infligée par le département au recourant au motif que les logements autorisés par les DD 1______/1/2 ont été occupés avant la réception par le DT d'une AGC.</w:t>
      </w:r>
    </w:p>
    <w:p>
      <w:r>
        <w:rPr>
          <w:b/>
        </w:rPr>
        <w:t>E. 9</w:t>
      </w:r>
    </w:p>
    <w:p>
      <w:r>
        <w:t>De façon générale, la police des constructions institue un système d'autorisation dans lequel les architectes mandataires jouent un rôle central. Ainsi prévoit-elle aussi que toute demande d'autorisation doit être établie et signée par une personne inscrite au tableau des MPQ (art. 2 al. 3 de la loi sur les constructions et les installations diverses du 14 avril 1988 - LCI - L 5 05).</w:t>
      </w:r>
    </w:p>
    <w:p>
      <w:r>
        <w:rPr>
          <w:b/>
        </w:rPr>
        <w:t>E. 10</w:t>
      </w:r>
    </w:p>
    <w:p>
      <w:r>
        <w:t>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w:t>
      </w:r>
    </w:p>
    <w:p>
      <w:r>
        <w:rPr>
          <w:b/>
        </w:rPr>
        <w:t>E. 11</w:t>
      </w:r>
    </w:p>
    <w:p>
      <w:r>
        <w:t>Les constructions ou installations neuves ou modifiées, destinées notamment à l'habitation ou au travail (let. a),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2e phrase, et 6 (art. 7 al. 1 LCI). L'attestation certifie que les constructions ou installations sont conformes à l'autorisation de construire, aux conditions de celle-ci, ainsi qu'aux lois et règlements applicables au moment de l'entrée en force de l'autorisation de construire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w:t>
      </w:r>
    </w:p>
    <w:p>
      <w:r>
        <w:rPr>
          <w:b/>
        </w:rPr>
        <w:t>E. 12</w:t>
      </w:r>
    </w:p>
    <w:p>
      <w:r>
        <w:t>La LPAI a pour objet de réglementer l’exercice indépendant de la profession d’architecte ou d’ingénieur civil, ou de professions apparentées, sur le territoire du</w:t>
      </w:r>
    </w:p>
    <w:p>
      <w:r>
        <w:t>- 8/12 - A/3328/2021 canton de Genève. L’exercice de cette profession est restreint, pour les travaux dont l’exécution est soumise à autorisation en vertu de la LCI, aux MPQ reconnus par l’État (art. 1 LPAI).</w:t>
      </w:r>
    </w:p>
    <w:p>
      <w:r>
        <w:rPr>
          <w:b/>
        </w:rPr>
        <w:t>E. 13</w:t>
      </w:r>
    </w:p>
    <w:p>
      <w:r>
        <w:t>Le mandataire est tenu de faire définir clairement son mandat.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de la loi sur l’exercice des professions d’architecte et d’ingénieur du 17 décembre 1982 (LPAI - L 5 40). Il résulte de cette dernière disposition que le respect du droit public est l’un des devoirs incombant à l’architecte (Blaise KNAPP, "La profession d’architecte en droit public", in Le droit de l’architecte, 1986, p. 487 ss n. 510 ; cf. ATA/118/2013 du 26 février 2013).</w:t>
      </w:r>
    </w:p>
    <w:p>
      <w:r>
        <w:rPr>
          <w:b/>
        </w:rPr>
        <w:t>E. 14</w:t>
      </w:r>
    </w:p>
    <w:p>
      <w:r>
        <w:t>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 cf. not. ATA/161/2014 du</w:t>
      </w:r>
    </w:p>
    <w:p>
      <w:r>
        <w:rPr>
          <w:b/>
        </w:rPr>
        <w:t>E. 18</w:t>
      </w:r>
    </w:p>
    <w:p>
      <w:r>
        <w:t>Le recourant estime qu'il ne saurait être tenu pour responsable des manquements reprochés. Ce dernier fait en particulier valoir que son mandat ne s'étendait pas à l'exécution des travaux. Il considère en outre que la responsabilité des infractions reprochées incombe exclusivement l'entreprise générale.</w:t>
      </w:r>
    </w:p>
    <w:p>
      <w:r>
        <w:rPr>
          <w:b/>
        </w:rPr>
        <w:t>E. 19</w:t>
      </w:r>
    </w:p>
    <w:p>
      <w:r>
        <w:t>En l'espèce, le prononcé de l'amende administrative litigieuse repose exclusivement, sur le fait que les logements concernés par l'autorisation de construire ont été occupés avant la réception d'une AGC par le DT. Il est par ailleurs constant que seul M. A______ a agi dans le cadre des constructions autorisées en qualité de MPQ aux yeux du département. Il répond donc envers les autorités du manquement reproché consacrant une violation de l'art. 7 LCI précité rappelé ci-dessus, lequel n'est au demeurant pas contesté. C'est dès lors à juste titre que ce manquement a été reproché à M. A______.</w:t>
      </w:r>
    </w:p>
    <w:p>
      <w:r>
        <w:rPr>
          <w:b/>
        </w:rPr>
        <w:t>E. 20</w:t>
      </w:r>
    </w:p>
    <w:p>
      <w:r>
        <w:t>Selon l'art. 137 LCI, est passible d'une amende administrative de CHF 100.- à CHF 150'000.- tout contrevenant à la LCI, à ses règlements d'application, ainsi qu'aux ordres du DT (art. 137 al. 1 LCI). Il est tenu compte, dans la fixation du montant de l'amende, du degré de gravité de l'infraction. Constituent notamment des circonstances aggravantes la violation des prescriptions susmentionnées par cupidité, les cas de récidive, ainsi que l'établissement, par le MPQ ou le requérant, d'une attestation, au sens de l'art. 7 LCI, non conforme à la réalité (art. 137 al. 3 LCI).</w:t>
      </w:r>
    </w:p>
    <w:p>
      <w:r>
        <w:rPr>
          <w:b/>
        </w:rPr>
        <w:t>E. 21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w:t>
      </w:r>
    </w:p>
    <w:p>
      <w:r>
        <w:t>- 10/12 - A/3328/2021 (ATA/13/2020 du 7 janvier 2020 consid. 7b ; ATA/440/2019 du 16 avril 2019 ; ATA/19/2018 du 9 janvier 2018).</w:t>
      </w:r>
    </w:p>
    <w:p>
      <w:r>
        <w:rPr>
          <w:b/>
        </w:rPr>
        <w:t>E. 22</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rPr>
          <w:b/>
        </w:rPr>
        <w:t>E. 23</w:t>
      </w:r>
    </w:p>
    <w:p>
      <w:r>
        <w:t>Dans le cas présent, il résulte des considérations qui précèdent que le manquement reproché est effectivement réalisé, et est passible d'une amende administrative. Eu égard à sa position de MPQ et à ses connaissances professionnelles, l’architecte ne pouvait ignorer la nature et la portée de son obligation, découlant des règles essentielles visant à assurer la sécurité des occupants des logements construits aux fins de prévenir des risques d'accidents potentiellement graves. Malgré les diverses démarches qu'il a entreprises auprès de l'entreprise générale, lesquelles n'ont apparemment pas été suivies des effets attendus, force est de constater que l’architecte, en sa qualité de MPQ, n'a pas satisfait à ses obligations légales vis-à-vis de l'intimé, et partant a commis une faute qu'il convient de qualifier de gravité moyenne. Par ailleurs, il n’a pas d’antécédents. Compte tenu du fait qu'en définitive seule cette infraction a été retenue, le montant de l'amende litigieuse doit être revu à la baisse.</w:t>
      </w:r>
    </w:p>
    <w:p>
      <w:r>
        <w:t>- 11/12 - A/3328/2021</w:t>
      </w:r>
    </w:p>
    <w:p>
      <w:r>
        <w:t>Au vu de l'ensemble des circonstances, la faute du recourant permet de justifier une amende s'élevant à CHF 1'000.- plus conforme au principe de proportionnalité, ce d'autant que celui-ci n'établit pas que son paiement l'exposerait à une situation financière difficile.</w:t>
      </w:r>
    </w:p>
    <w:p>
      <w:r>
        <w:t>Il résulte de ce qui précède que le recours sera partiellement admis. La décision querellée sera annulée dans la mesure où elle inflige une amende de CHF 2'000.- à M. A______ et le montant de cette dernière sera réduit à CHF 1'000.-.</w:t>
      </w:r>
    </w:p>
    <w:p>
      <w:r>
        <w:t>Vu cette issue, un émolument réduit, de CHF 500.- sera mis à la charge des recourants, qui n'obtiennent que partiellement gain de cause (art. 87 al. 1 LPA et 1 et 2 du règlement sur les frais, émoluments et indemnités en procédure administrative du 30 juillet 1986 - RFPA - E 5 10.03). Il ne lui sera pas alloué d'indemnité de procédure, les recourants ayant agi en personne (art. 87 al. 2 LPA a contrario).</w:t>
      </w:r>
    </w:p>
    <w:p>
      <w:r>
        <w:t>- 12/12 - A/3328/2021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