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JTAPI/562/2023 vom 10. September 2019</w:t>
      </w:r>
    </w:p>
    <w:p>
      <w:r>
        <w:t>GE Cour de justice, 2019-09-10, FR</w:t>
      </w:r>
    </w:p>
    <w:p>
      <w:r>
        <w:rPr>
          <w:b/>
        </w:rPr>
        <w:t xml:space="preserve">Quelle: </w:t>
      </w:r>
      <w:r>
        <w:t>https://mcp.opencaselaw.ch/entscheid/ge_gerichte_JTAPI_562_2023</w:t>
      </w:r>
    </w:p>
    <w:p>
      <w:r>
        <w:t>FR: GE_GERICHTE JTAPI/562/2023 du 10 septembre 2019</w:t>
      </w:r>
    </w:p>
    <w:p>
      <w:r>
        <w:t>IT: GE_GERICHTE JTAPI/562/2023 del 10 settembre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Il convient tout d'abord de rappeler quel est l'objet du litige.</w:t>
      </w:r>
    </w:p>
    <w:p>
      <w:r>
        <w:rPr>
          <w:b/>
        </w:rPr>
        <w:t>E. 4</w:t>
      </w:r>
    </w:p>
    <w:p>
      <w:r>
        <w:t>La décision litigieuse est un refus de reconsidération de la décision prise par l'autorité intimée le 10 septembre 2019, qui rejetait la demande de regroupement familial déposée par le père de famille en faveur de ses deux enfants. Ce faisant, l'autorité intimée a correctement compris le sens de la requête dont le père de famille et ses deux enfants, sous la plume de leur conseil, l'avait saisie par courrier du 28 avril 2021, courrier dans lequel ils sollicitaient explicitement la reconsidération de la décision susmentionnée. L'objet du litige consiste ainsi à examiner si l'autorité intimée a correctement apprécié l'ensemble des circonstances dans le cadre de cette procédure de reconsidération. Cela signifie que les questions que le tribunal doit examiner s'inscrivent strictement dans le cadre des dispositions légales sur le regroupement familial, telles qu'elles avaient été appliquées dans la décision du 10 septembre 2019 puis examinées dans le cadre de la procédure A/3______ qui a abouti successivement au jugement JTAPI/2______ rendu par le tribunal le ______ 2020 puis à l'arrêt ATA/5______ rendu par la chambre administrative le ______ 2021.</w:t>
      </w:r>
    </w:p>
    <w:p>
      <w:r>
        <w:t>- 11/14 - A/3833/2022</w:t>
      </w:r>
    </w:p>
    <w:p>
      <w:r>
        <w:rPr>
          <w:b/>
        </w:rPr>
        <w:t>E. 5</w:t>
      </w:r>
    </w:p>
    <w:p>
      <w:r>
        <w:t>Dans le cadre de la procédure de reconsidération prévue par l’art. 48 al. 1 let. b LPA,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w:t>
      </w:r>
    </w:p>
    <w:p>
      <w:r>
        <w:rPr>
          <w:b/>
        </w:rPr>
        <w:t>E. 6</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C-1545/2008 du 8 juillet 2008 consid. 5 ; C-7483/2006 du 19 juin 2007 consid. 6 ; C-1798/2006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w:t>
      </w:r>
    </w:p>
    <w:p>
      <w:r>
        <w:rPr>
          <w:b/>
        </w:rPr>
        <w:t>E. 9</w:t>
      </w:r>
    </w:p>
    <w:p>
      <w:r>
        <w:t>Au vu de ce qui précède, il apparaît que l'autorité intimée n'a pas mésusé de son pouvoir d'appréciation en refusant de reconsidérer sa décision du 10 septembre 2019 et que le recours devra donc être rejeté.</w:t>
      </w:r>
    </w:p>
    <w:p>
      <w:r>
        <w:rPr>
          <w:b/>
        </w:rPr>
        <w:t>E. 10</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700.- ; il est partiellement couvert par l’avance de frais de CHF 500.- versée à la suite du dépôt du recours. Vu l’issue du litige, aucune indemnité de procédure ne sera allouée (art. 87 al. 2 LPA).</w:t>
      </w:r>
    </w:p>
    <w:p>
      <w:r>
        <w:rPr>
          <w:b/>
        </w:rPr>
        <w:t>E. 11</w:t>
      </w:r>
    </w:p>
    <w:p>
      <w:r>
        <w:t>En vertu des art. 89 al. 2 et 111 al. 2 de la loi sur le Tribunal fédéral du 17 juin 2005 (LTF - RS 173.110), le présent jugement sera communiqué au secrétariat d'État aux migrations.</w:t>
      </w:r>
    </w:p>
    <w:p>
      <w:r>
        <w:t>- 14/14 - A/3833/2022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