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JTAPI/55/2025 vom 22. November 2021</w:t>
      </w:r>
    </w:p>
    <w:p>
      <w:r>
        <w:t>GE Cour de justice, 2021-11-22, FR</w:t>
      </w:r>
    </w:p>
    <w:p>
      <w:r>
        <w:rPr>
          <w:b/>
        </w:rPr>
        <w:t xml:space="preserve">Quelle: </w:t>
      </w:r>
      <w:r>
        <w:t>https://mcp.opencaselaw.ch/entscheid/ge_gerichte_JTAPI_55_2025</w:t>
      </w:r>
    </w:p>
    <w:p>
      <w:r>
        <w:t>FR: GE_GERICHTE JTAPI/55/2025 du 22 novembre 2021</w:t>
      </w:r>
    </w:p>
    <w:p>
      <w:r>
        <w:t>IT: GE_GERICHTE JTAPI/55/2025 del 22 novembre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6</w:t>
      </w:r>
    </w:p>
    <w:p>
      <w:r>
        <w:t>En l’occurrence, par décision du 22 novembre 2021, l’OCPM a constaté la caducité de l’autorisation d’établissement de M. B______, refusé de lui délivrer une nouvelle autorisation de séjour, révoqué l’autorisation de séjour pour regroupement familial de Mme A______ et prononcé leur renvoi de Suisse, ainsi que de l’espace</w:t>
      </w:r>
    </w:p>
    <w:p>
      <w:r>
        <w:t>- 8/12 - A/1385/2024 Schengen. Cette décision a été confirmée en dernière instance par l’ATA/1081/2023 du 3 octobre 2023. En conséquence, l’objet du litige devant le tribunal se limite à la question de savoir si les circonstances alléguées par les précités doivent contraindre l’autorité intimée à réexaminer leur situation.</w:t>
      </w:r>
    </w:p>
    <w:p>
      <w:r>
        <w:rPr>
          <w:b/>
        </w:rPr>
        <w:t>E. 7</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Bien que l'écoulement du temps et la poursuite d'une intégration socio- 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(ATA/1239/2020 du 8 décembre 2020.</w:t>
      </w:r>
    </w:p>
    <w:p>
      <w:r>
        <w:rPr>
          <w:b/>
        </w:rPr>
        <w:t>E. 8</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rPr>
          <w:b/>
        </w:rPr>
        <w:t>E. 9</w:t>
      </w:r>
    </w:p>
    <w:p>
      <w:r>
        <w:t>La jurisprudence a déduit de l'art. 29 al. 1 et 2 de la Constitution fédérale de la Confédération suisse du 18 avril 1999 (Cst. - RS 101) l'obligation pour l'autorité administrative d'entrer en matière sur une demande en reconsidération, notamment</w:t>
      </w:r>
    </w:p>
    <w:p>
      <w:r>
        <w:t>- 9/12 - A/1385/2024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w:t>
      </w:r>
    </w:p>
    <w:p>
      <w:r>
        <w:rPr>
          <w:b/>
        </w:rPr>
        <w:t>E. 10</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rPr>
          <w:b/>
        </w:rPr>
        <w:t>E. 11</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12</w:t>
      </w:r>
    </w:p>
    <w:p>
      <w:r>
        <w:t>Selon le Tribunal fédéral (arrêt 2C_1010/2011 du 31 janvier 2012 consid. 2.2), une modification ultérieure de la pratique ou de la jurisprudence ne constitue en règle générale pas une raison suffisante pour réexaminer une décision.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Cependant, le recourant n'est en droit d'exiger un réexamen que dans la mesure où il démontre dans quelle mesure le nouveau droit doit conduire à un autre résultat.</w:t>
      </w:r>
    </w:p>
    <w:p>
      <w:r>
        <w:rPr>
          <w:b/>
        </w:rPr>
        <w:t>E. 13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w:t>
      </w:r>
    </w:p>
    <w:p>
      <w:r>
        <w:t>Lorsque l'étranger réside légalement depuis plus de dix ans en Suisse, il y a lieu de partir de l'idée que les liens sociaux qu'il y a développés sont suffisamment étroits pour qu'il bénéficie d'un droit au respect de sa vie privée ; lorsque la durée de la</w:t>
      </w:r>
    </w:p>
    <w:p>
      <w:r>
        <w:t>- 10/12 - A/1385/2024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(arrêt du Tribunal fédéral 2C_603/2019 du 16 décembre 2019 consid. 6.2).</w:t>
      </w:r>
    </w:p>
    <w:p>
      <w:r>
        <w:rPr>
          <w:b/>
        </w:rPr>
        <w:t>E. 14</w:t>
      </w:r>
    </w:p>
    <w:p>
      <w:r>
        <w:t>En l’espèce, l’amélioration de l’intégration des recourants depuis que la décision du 22 novembre 2021 a été rendue ne constitue pas un fait nouveau, mais découle simplement du temps qui s’est écoulé depuis lors. Dès lors, ils ne s’auraient en tirer aucun avantage. Dans son arrêt du 3 octobre 2023, la chambre administrative a déjà examiné – et écarté – leur grief relatif à l’absence de toute inscription dans leur casier judiciaire respectif, ainsi que celui ayant trait à une éventuelle séparation résultant de leur nationalité différente. Le fait qu’en cas de renvoi, la recourante ne serait plus en mesure de gérer sa société, dont les employés se retrouveraient au chômage, ne constitue pas un fait nouveau, car une telle argumentation pouvait déjà être invoquée dans la procédure ordinaire de recours à l’encontre de la décision du 22 novembre 2021. Les recourants se prévalent de la modification de l’OEV, entrée en vigueur au 1er janvier 2024. À partir de cette date, les ressortissants albanais et kosovars n’ont plus besoin de visa pour séjourner en Suisse et dans l’espace Schengen pour un séjour n’excédant pas 90 jours. Cette novelle ne leur est d’aucun secours. En effet, l’OCPM, dans sa décision du 22 novembre 2021, a constaté la caducité de l’autorisation d’établissement de M. B______ et a révoqué l’autorisation de séjour pour regroupement familial de Mme A______. En d’autres termes, l’autorité intimée n’a pas justifié leur renvoi au motif qu’ils étaient démunis d’un quelconque document – tel qu’un visa – leur permettant de résider en Suisse. Dès lors, même si à l’époque, ils avaient été autorisés à séjourner sans visa sur le territoire helvétique durant moins de 90 jours, l’OCPM n’aurait pas rendu une décision différente. Au surplus, même après le 1er janvier 2024, les Albanais et les Kosovars restent soumis à l’obligation de visa dès le premier jour où ils exercent une activité lucrative (OEV, annexe 2) ; il en va de même lorsqu’ils entendent séjourner en Suisse durant plus de 90 jours (art. 9 al. 1 OEV). Enfin, les recourants ne peuvent tirer aucun bénéfice de l’art. 8 CEDH. En effet, il découle de l’arrêt de la chambre administrative du 3 octobre 2023 qu’aucun d’eux n’a résidé en toute légalité en Suisse durant plus de dix ans, pas plus qu’ils ne peuvent se prévaloir d’une intégration professionnelle exceptionnelle.</w:t>
      </w:r>
    </w:p>
    <w:p>
      <w:r>
        <w:rPr>
          <w:b/>
        </w:rPr>
        <w:t>E. 15</w:t>
      </w:r>
    </w:p>
    <w:p>
      <w:r>
        <w:t>Ne reposant sur aucun motif valable, le recours doit être rejeté.</w:t>
      </w:r>
    </w:p>
    <w:p>
      <w:r>
        <w:rPr>
          <w:b/>
        </w:rPr>
        <w:t>E. 16</w:t>
      </w:r>
    </w:p>
    <w:p>
      <w:r>
        <w:t>En application des art. 87 al. 1 LPA et 1 et 2 du règlement sur les frais, émoluments et indemnités en procédure administrative du 30 juillet 1986 (RFPA - E 5 10.03),</w:t>
      </w:r>
    </w:p>
    <w:p>
      <w:r>
        <w:t>- 11/12 - A/1385/2024 les recourants, pris conjointement et solidairement, qui succombent, sont condamnés au paiement d’un émolument s'élevant à CHF 700.- ; il est partiellement couvert par l’avance de frais versée de CHF 500.- à la suite du dépôt du recours.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- 12/12 - A/1385/2024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