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JTAPI/559/2025 vom 27. März 2025</w:t>
      </w:r>
    </w:p>
    <w:p>
      <w:r>
        <w:t>GE Cour de justice, 2025-03-27, FR</w:t>
      </w:r>
    </w:p>
    <w:p>
      <w:r>
        <w:rPr>
          <w:b/>
        </w:rPr>
        <w:t xml:space="preserve">Quelle: </w:t>
      </w:r>
      <w:r>
        <w:t>https://mcp.opencaselaw.ch/entscheid/ge_gerichte_JTAPI_559_2025</w:t>
      </w:r>
    </w:p>
    <w:p>
      <w:r>
        <w:t>FR: GE_GERICHTE JTAPI/559/2025 du 27 mars 2025</w:t>
      </w:r>
    </w:p>
    <w:p>
      <w:r>
        <w:t>IT: GE_GERICHTE JTAPI/559/2025 del 27 marzo 2025</w:t>
      </w:r>
    </w:p>
    <w:p>
      <w:pPr>
        <w:pStyle w:val="Heading2"/>
      </w:pPr>
      <w:r>
        <w:t>Erwägungen</w:t>
      </w:r>
    </w:p>
    <w:p>
      <w:r>
        <w:rPr>
          <w:b/>
        </w:rPr>
        <w:t>E. 1</w:t>
      </w:r>
    </w:p>
    <w:p>
      <w:r>
        <w:t>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L'art. 62 al. 1 let. b LPA prévoit que le délai de recours contre une décision finale ou une décision en matière de compétence est de 30 jours (let. c) et contre autre décision de dix jours.</w:t>
      </w:r>
    </w:p>
    <w:p>
      <w:r>
        <w:rPr>
          <w:b/>
        </w:rPr>
        <w:t>E. 4</w:t>
      </w:r>
    </w:p>
    <w:p>
      <w:r>
        <w:t>A teneur de l’art. 17 LPA, le délai de recours commence à courir le lendemain de la notification (al. 1). Il est considéré comme respecté si le recours est remis à l’autorité de recours, à un office de poste suisse ou à une représentation diplomatique ou consulaire suisse au plus tard le dernier jour du délai avant minuit (al. 4).</w:t>
      </w:r>
    </w:p>
    <w:p>
      <w:r>
        <w:rPr>
          <w:b/>
        </w:rPr>
        <w:t>E. 5</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et la décision en cause acquiert force obligatoire (ATA/413/2021 du 13 avril 2021 consid. 8b ; ATA/286/ 2020 du 10 mars 2020).</w:t>
      </w:r>
    </w:p>
    <w:p>
      <w:r>
        <w:t>- 3/4 - A/1798/2025</w:t>
      </w:r>
    </w:p>
    <w:p>
      <w:r>
        <w:rPr>
          <w:b/>
        </w:rPr>
        <w:t>E. 6</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7</w:t>
      </w:r>
    </w:p>
    <w:p>
      <w:r>
        <w:t>Les cas de force majeure sont les événements extraordinaires et imprévisibles qui surviennent en dehors de la sphère d'activité de l'intéressé et qui s'imposent à lui de l'extérieur de façon irrésistible (cf. ATA/461/2018 du</w:t>
      </w:r>
    </w:p>
    <w:p>
      <w:r>
        <w:rPr>
          <w:b/>
        </w:rPr>
        <w:t>E. 8</w:t>
      </w:r>
    </w:p>
    <w:p>
      <w:r>
        <w:t>En l'espèce, le délai dans lequel le recourant était fondé à contester la décision litigieuse est arrivé à échéance le lundi 12 mai 2025, compte-tenu des féries. Or, son écriture, postée depuis le Portugal, est arrivée sur le territoire suisse le 20 mai 2025, soit en dehors du délai de trente jours pour recourir. Le recours est donc manifestement tardif.</w:t>
      </w:r>
    </w:p>
    <w:p>
      <w:r>
        <w:rPr>
          <w:b/>
        </w:rPr>
        <w:t>E. 9</w:t>
      </w:r>
    </w:p>
    <w:p>
      <w:r>
        <w:t>Dans ces conditions, il sera immédiatement déclaré irrecevable.</w:t>
      </w:r>
    </w:p>
    <w:p>
      <w:r>
        <w:rPr>
          <w:b/>
        </w:rPr>
        <w:t>E. 10</w:t>
      </w:r>
    </w:p>
    <w:p>
      <w:r>
        <w:t>Vu la nature du litige et l’issue de la procédure, il sera exceptionnellement renoncé à la perception d’un émolument (art. 87 al. 1 LPA et 1 et 2 du règlement sur les frais, émoluments et indemnités en procédure administrative du 30 juillet 1986 - RFPA - E 5 10.03). Aucune indemnité de procédure ne sera allouée (art. 87 al. 2 LPA).</w:t>
      </w:r>
    </w:p>
    <w:p>
      <w:r>
        <w:t>- 4/4 - A/1798/2025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