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JTAPI/550/2025 vom 22. Mai 2025</w:t>
      </w:r>
    </w:p>
    <w:p>
      <w:r>
        <w:t>GE Cour de justice, 2025-05-22, FR</w:t>
      </w:r>
    </w:p>
    <w:p>
      <w:r>
        <w:rPr>
          <w:b/>
        </w:rPr>
        <w:t xml:space="preserve">Quelle: </w:t>
      </w:r>
      <w:r>
        <w:t>https://mcp.opencaselaw.ch/entscheid/ge_gerichte_JTAPI_550_2025</w:t>
      </w:r>
    </w:p>
    <w:p>
      <w:r>
        <w:t>FR: GE_GERICHTE JTAPI/550/2025 du 22 mai 2025</w:t>
      </w:r>
    </w:p>
    <w:p>
      <w:r>
        <w:t>IT: GE_GERICHTE JTAPI/550/2025 del 22 maggio 2025</w:t>
      </w:r>
    </w:p>
    <w:p>
      <w:pPr>
        <w:pStyle w:val="Heading2"/>
      </w:pPr>
      <w:r>
        <w:t>Erwägungen</w:t>
      </w:r>
    </w:p>
    <w:p>
      <w:r>
        <w:rPr>
          <w:b/>
        </w:rPr>
        <w:t>E. 9</w:t>
      </w:r>
    </w:p>
    <w:p>
      <w:r>
        <w:t>Par courrier non daté, reçu le 30 juillet 2024, les copropriétaires ont demandé au département de reconsidérer leur amende.</w:t>
      </w:r>
    </w:p>
    <w:p>
      <w:r>
        <w:t>- 4/10 - A/3070/2024 Ils étaient pour le moins surpris qu’on leur reproche de n’avoir donné aucune suite aux mesures ordonnées. Au contraire, ils avaient déployé énormément d’énergie et d’argent pour évacuer intégralement tous les encombrants, outillages, machines, matériel d’exploitation, ainsi que la grue de l’entreprise D______ SA. En cela, la décision du ______ 2023 dont le délai d’évacuation avait été prolongé au 21 juin 2024 avait été pleinement respectée. Etaient jointes diverses photographies du 22 juin 2024 et une « prise satellite » [qui ne figure ni en annexe du courrier produit par les recourants, ni en annexe de la copie produite par le département] permettant de constater que tout le matériel d’exploitation de l’entreprise D______ SA, dont la grue, avait été évacué. S’agissant de l’entreprise E______ SA, ils n’en étaient plus propriétaires. L’entreprise avait entrepris des démarches avec la FTI quant à la recherche d’un dépôt en zone artisanale/industrielle. Ils ne pouvaient pas faire mieux pour trouver des terrains susceptibles de recevoir cette entreprise de 200 employés. De plus, E______ SA n’occupait tout au plus que 15% des hangars et avait une activité bien moins invasive que D______ SA.</w:t>
      </w:r>
    </w:p>
    <w:p>
      <w:r>
        <w:rPr>
          <w:b/>
        </w:rPr>
        <w:t>E. 10</w:t>
      </w:r>
    </w:p>
    <w:p>
      <w:r>
        <w:t>Par acte du 12 septembre 2024, Messieurs A______ et B______ (ci-après : les recourants) ont interjeté recours à l’encontre de la décision du département du ______ 2024 auprès du Tribunal administratif de première instance (ci-après : le tribunal), concluant à son annulation et à ce qu’il soit statué à nouveau sur le montant de l’amende administrative ou au renvoi du dossier au département dans le sens des considérants, le tout sous suite de frais et dépens. Ils ne s’opposaient pas au principe de l’amende compte tenu de la présence du matériel de E______ SA sur la parcelle, mais au caractère excessif de celle-ci compte tenu des motifs exposés dans la décision du ______ 2024 qui demeuraient erronés. En substance, ils demandaient à ce qu’il soit tenu compte des circonstances historiques du cas, notamment des difficultés du département non seulement à déclasser des périmètres pour les activités industrielles, mais aussi à satisfaire la forte demande des entreprises de construction et enfin des vaines démarches entreprises par feu Monsieur G______, puis les recourants, pour trouver un terrain susceptible d’accueillir leurs deux entreprises, toujours en collaboration avec le département. Dès réception de l’avis de dénonciation du 21 juillet 2023, ils s’étaient mis en œuvre avec l’Office des faillites pour libérer intégralement le périmètre occupé par l’entreprise D______ SA en faisant débarrasser l’intégralité de son outillage. Les machines de chantier auxquelles il était fait référence dans le courrier de l’autorité du ______ 2024 n’appartenaient pas aux recourants, ni à E______ SA, mais étaient situées sur la parcelle occupée par H______. La seule et unique machine qui restait parfois abritée dans le hangar était un F______ appartenant à E______ SA, mais qui la plupart du temps restait en activité sur le chantier. Ainsi, l’affirmation selon</w:t>
      </w:r>
    </w:p>
    <w:p>
      <w:r>
        <w:t>- 5/10 - A/3070/2024 laquelle ils n’avaient donnés aucune suite aux mesures ordonnées était erronée, comme en témoignait les photographies prises le 22 juin 2024, qui avaient été jointes dans leur courrier du 27 juillet 2024. Certes ils avaient omis d’envoyer le reportage photographique des aménagements extérieurs dans le délai fixé, mais ils ignoraient pour quel motifs l’inspection de la construction et des chantiers (ci-après : ICC) ne leur avait pas simplement rappelé le délai juste après son échéance, plutôt que de leur envoyer un collaborateur sur place sans même les en informer. Quant à la société E______ SA, celle-ci était encore présente, mais n’occupait plus qu’une faible partie du site. La société était pleinement informée de la situation et continuait à chercher une solution pour trouver un nouveau dépôt dans le canton.</w:t>
      </w:r>
    </w:p>
    <w:p>
      <w:r>
        <w:rPr>
          <w:b/>
        </w:rPr>
        <w:t>E. 11</w:t>
      </w:r>
    </w:p>
    <w:p>
      <w:r>
        <w:t>Le 15 novembre 2024, le département a transmis ses observations dans le cadre de la procédure n° A/3070/2024, accompagnées de son dossier. Il concluait au rejet du recours. Dans la mesure où les recourants admettaient ne pas avoir respecté, à tout le moins intégralement, les ordres du département, le principe de l’amende devait être confirmé. La quotité de l’amende quant à elle apparaissait comme conforme au principe de proportionnalité si l’on tenait compte du fait qu’elle se situait dans la fourchette basse de ce que prévoyait l’art. 137 LCI et qu’elle tenait compte de l’exécution partielle de la remise en état et de l’interdiction d’exploiter ordonnées. Les autres circonstances alléguées par les recourants n’avaient en revanche pas à être prises en considération puisqu’elles étaient totalement étrangères à l’infraction reprochée. Les circonstances historiques n’avaient aucune incidence sur le degré de la faute commise et ne permettaient pas d’expliquer pour quels motifs les ordres donnés n’avaient pas été entièrement respectés. Par ce biais, les recourants justifiaient plutôt l’affectation illicite de la parcelle et des bâtiments, alors que la sanction ne concernait pas cet aspect. De même, le fait que certaines des machines de chantier ne leur appartiendraient pas et ne seraient pas situées sur leur parcelle n’avait aucune influence sur le montant de la sanction. Cette dernière ne portait que sur le non-respect de l’ordre, notamment, d’évacuer toutes les machines de chantier, tout le matériel de construction, les dépôts, mobilier et autres installations non conformes à la DD 2______. Or, le reportage photographique effectué le 3 juillet 2024 démontrait clairement la présence d’une quantité non négligeable de matériel de construction. Quand bien même les machines de chantiers citées ne seraient pas le fait des recourants, l’état de la parcelle ne respectait pas l’ordre qui avait été donné. S’agissant du fait que le département ne leur avait pas adressé de rappel quant à l’échéance du délai pour produire la preuve de l’exécution des ordres donnés, il ne distinguait pas en quoi cela aurait pu avoir une influence sur le montant de l’amende puisque cela n’aurait pas permis de démontrer le respect intégral des ordres précités.</w:t>
      </w:r>
    </w:p>
    <w:p>
      <w:r>
        <w:t>- 6/10 - A/3070/2024</w:t>
      </w:r>
    </w:p>
    <w:p>
      <w:r>
        <w:rPr>
          <w:b/>
        </w:rPr>
        <w:t>E. 12</w:t>
      </w:r>
    </w:p>
    <w:p>
      <w:r>
        <w:t>Par courrier du 12 décembre 2024, les recourants ont renoncé à répliquer.</w:t>
      </w:r>
    </w:p>
    <w:p>
      <w:r>
        <w:rPr>
          <w:b/>
        </w:rPr>
        <w:t>E. 13</w:t>
      </w:r>
    </w:p>
    <w:p>
      <w:r>
        <w:t>Mal fondé, le recours sera rejeté.</w:t>
      </w:r>
    </w:p>
    <w:p>
      <w:r>
        <w:rPr>
          <w:b/>
        </w:rPr>
        <w:t>E. 14</w:t>
      </w:r>
    </w:p>
    <w:p>
      <w:r>
        <w:t>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900.- ; il est couvert par l’avance de frais versée à la suite du dépôt du recours. Vu l’issue du litige, aucune indemnité de procédure ne sera allouée (art. 87 al. 2 LPA).</w:t>
      </w:r>
    </w:p>
    <w:p>
      <w:r>
        <w:t>- 10/10 - A/3070/2024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