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JTAPI/54/2025 vom 22. November 2021</w:t>
      </w:r>
    </w:p>
    <w:p>
      <w:r>
        <w:t>GE Cour de justice, 2021-11-22, FR</w:t>
      </w:r>
    </w:p>
    <w:p>
      <w:r>
        <w:rPr>
          <w:b/>
        </w:rPr>
        <w:t xml:space="preserve">Quelle: </w:t>
      </w:r>
      <w:r>
        <w:t>https://mcp.opencaselaw.ch/entscheid/ge_gerichte_JTAPI_54_2025</w:t>
      </w:r>
    </w:p>
    <w:p>
      <w:r>
        <w:t>FR: GE_GERICHTE JTAPI/54/2025 du 22 novembre 2021</w:t>
      </w:r>
    </w:p>
    <w:p>
      <w:r>
        <w:t>IT: GE_GERICHTE JTAPI/54/2025 del 22 novembre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t>- 7/11 - A/1363/2024 4. 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rPr>
          <w:b/>
        </w:rPr>
        <w:t>E. 6</w:t>
      </w:r>
    </w:p>
    <w:p>
      <w:r>
        <w:t>En l’occurrence, par décision du 22 novembre 2021, l’OCPM a constaté la caducité de l’autorisation d’établissement des recourants, refusé de leur délivrer une nouvelle autorisation de séjour et prononcé leur renvoi de Suisse, ainsi que de l’espace Schengen. Cette décision a été confirmée en dernière instance par l’ATA/1082/2023 du 3 octobre 2023. En conséquence, l’objet du litige devant le tribunal se limite à la question de savoir si les circonstances alléguées par les précités doivent contraindre l’autorité intimée à réexaminer leur situation.</w:t>
      </w:r>
    </w:p>
    <w:p>
      <w:r>
        <w:rPr>
          <w:b/>
        </w:rPr>
        <w:t>E. 7</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(ATA/347/2021 du 23 mars 2021 consid. 2).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Bien que l'écoulement du temps et la poursuite d'une intégration socio- professionnelle constituent des modifications des circonstances, ces éléments ne peuvent pas être qualifiés de notables au sens de l'art. 48 let. b LPA lorsqu'ils résultent uniquement du fait que l'étranger ne s'est pas conformé à une décision initiale malgré son entrée en force (ATA/1239/2020 du 8 décembre 2020.</w:t>
      </w:r>
    </w:p>
    <w:p>
      <w:r>
        <w:rPr>
          <w:b/>
        </w:rPr>
        <w:t>E. 8</w:t>
      </w:r>
    </w:p>
    <w:p>
      <w:r>
        <w:t>Une demande en reconsidération n'est pas un moyen de droit destiné à remettre indéfiniment en question les décisions administratives, ni à éluder les dispositions</w:t>
      </w:r>
    </w:p>
    <w:p>
      <w:r>
        <w:t>- 8/11 - A/1363/2024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L'autorité doit seulement procéder à un nouvel examen si la loi le lui impose. Au- delà de cela, l'auteur de la demande de réexamen n'a aucun droit à obtenir une nouvelle décision, ni à exiger de l'autorité qu'elle procède à un nouvel examen (ATA/539/2020 du 29 mai 2020 consid. 5c).</w:t>
      </w:r>
    </w:p>
    <w:p>
      <w:r>
        <w:rPr>
          <w:b/>
        </w:rPr>
        <w:t>E. 9</w:t>
      </w:r>
    </w:p>
    <w:p>
      <w:r>
        <w:t>La jurisprudence a déduit de l'art. 29 al. 1 et 2 de la Constitution fédérale de la Confédération suisse du 18 avril 1999 (Cst. - RS 101) l'obligation pour l'autorité administrative d'entrer en matière sur une demande en reconsidération, notamment lorsque, en cas de décision déployant des effets durables, les circonstances se sont modifiées dans une mesure notable depuis le prononcé de la décision matérielle mettant fin à la procédure ordinaire (« vrais nova » ; en droit genevois : art. 48 al. 1 let. b LPA), mais aussi si la situation juridique a changé de manière telle que l'on peut sérieusement s'attendre à ce qu'un résultat différent puisse se réaliser, étant précisé que l'état de fait déterminant doit essentiellement s'être modifié après le changement législatif (ATF 136 II 177 consid. 2.1 et 2.2.1).</w:t>
      </w:r>
    </w:p>
    <w:p>
      <w:r>
        <w:rPr>
          <w:b/>
        </w:rPr>
        <w:t>E. 10</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(Jacques DUBEY/Jean-Baptiste ZUFFEREY, Droit administratif général, 2014, n. 2148), ce qui n'impliquera pas nécessairement que la décision d'origine sera modifiée (Thierry TANQUEREL, Manuel de droit administratif, 2018, n. 1429).</w:t>
      </w:r>
    </w:p>
    <w:p>
      <w:r>
        <w:rPr>
          <w:b/>
        </w:rPr>
        <w:t>E. 11</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w:t>
      </w:r>
    </w:p>
    <w:p>
      <w:r>
        <w:rPr>
          <w:b/>
        </w:rPr>
        <w:t>E. 12</w:t>
      </w:r>
    </w:p>
    <w:p>
      <w:r>
        <w:t>Selon le Tribunal fédéral (arrêt 2C_1010/2011 du 31 janvier 2012 consid. 2.2), une modification ultérieure de la pratique ou de la jurisprudence ne constitue en règle générale pas une raison suffisante pour réexaminer une décision. Exceptionnellement, un changement de jurisprudence peut entraîner la modification d'une décision entrée en force lorsque la nouvelle jurisprudence a une telle portée</w:t>
      </w:r>
    </w:p>
    <w:p>
      <w:r>
        <w:t>- 9/11 - A/1363/2024 générale qu'il serait contraire au droit à l'égalité de ne pas l'appliquer dans tous les cas en maintenant une ancienne décision. Cependant, le recourant n'est en droit d'exiger un réexamen que dans la mesure où il démontre dans quelle mesure le nouveau droit doit conduire à un autre résultat.</w:t>
      </w:r>
    </w:p>
    <w:p>
      <w:r>
        <w:rPr>
          <w:b/>
        </w:rPr>
        <w:t>E. 13</w:t>
      </w:r>
    </w:p>
    <w:p>
      <w:r>
        <w:t>En l’espèce, l’accident dont le recourant a été victime en 2009 ne constitue pas un fait nouveau puisqu’il a eu lieu antérieurement à la susdite décision. Par ailleurs, dans son arrêt du 3 octobre 2023, la chambre administrative en a tenu compte, tout comme des possibilités pour l’intéressé de bénéficier de soins au Kosovo. Elle a également relevé que la rente AI qui lui était servie était exportable dans son pays d’origine. Les difficultés que de C______ rencontrerait en cas de renvoi ne peuvent être davantage qualifiées de fait nouveau. De surcroît, sa situation a également été examinée par la chambre administrative. L’attestation du centre de formation pré- professionnelle du 1er juillet 2024, jointe à la réplique, ne justifie pas de porter un autre regard sur le parcours de ce dernier. En effet, ce document, bien que relevant ses bonnes capacités d’apprentissage, ne fait pas état de l’achèvement d’une formation. Les recourants invoquent également une séparation de la famille, qui serait préjudiciable à C______. Or, ils ne rendent aucunement ce risque vraisemblable et, d’ailleurs, l’on voit mal pour quelle raison C______ et ses parents seraient séparés en cas de renvoi puisque tous trois sont ressortissants du Kosovo. Enfin, les recourants se prévalent de la modification de l’OEV, entrée en vigueur au 1er janvier 2024. À partir de cette date, les ressortissants kosovars n’ont plus besoin de visa pour séjourner en Suisse et dans l’espace Schengen pour un séjour n’excédant pas 90 jours. Cette novelle ne leur est d’aucun secours. En effet, l’OCPM, dans sa décision du 22 novembre 2021, a constaté la caducité de leurs autorisations d’établissement. En d’autres termes, l’autorité intimée n’a pas justifié leur renvoi au motif qu’ils étaient démunis d’un quelconque document – tel qu’un visa – leur permettant de résider en Suisse. Dès lors, même si à l’époque, ils avaient été autorisés à séjourner sans visa sur le territoire helvétique durant moins de 90 jours, l’OCPM n’aurait pas rendu une décision différente. Au surplus, même après le 1er janvier 2024, les Kosovars restent soumis à l’obligation de visa dès le premier jour où ils exercent une activité lucrative (OEV, annexe 2) ; il en va de même lorsqu’ils entendent séjourner en Suisse durant plus de 90 jours (art. 9 al. 1 OEV).</w:t>
      </w:r>
    </w:p>
    <w:p>
      <w:r>
        <w:rPr>
          <w:b/>
        </w:rPr>
        <w:t>E. 14</w:t>
      </w:r>
    </w:p>
    <w:p>
      <w:r>
        <w:t>Ne reposant sur aucun motif valable, le recours doit être rejeté.</w:t>
      </w:r>
    </w:p>
    <w:p>
      <w:r>
        <w:rPr>
          <w:b/>
        </w:rPr>
        <w:t>E. 15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partiellement</w:t>
      </w:r>
    </w:p>
    <w:p>
      <w:r>
        <w:t>- 10/11 - A/1363/2024 couvert par l’avance de frais versée de CHF 500.- à la suite du dépôt du recours. Aucune indemnité de procédure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- 11/11 - A/1363/2024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