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JTAPI/548/2024 vom 7. Juni 2024</w:t>
      </w:r>
    </w:p>
    <w:p>
      <w:r>
        <w:t>GE Cour de justice, 2024-06-07, FR</w:t>
      </w:r>
    </w:p>
    <w:p>
      <w:r>
        <w:rPr>
          <w:b/>
        </w:rPr>
        <w:t xml:space="preserve">Quelle: </w:t>
      </w:r>
      <w:r>
        <w:t>https://mcp.opencaselaw.ch/entscheid/ge_gerichte_JTAPI_548_2024</w:t>
      </w:r>
    </w:p>
    <w:p>
      <w:r>
        <w:t>FR: GE_GERICHTE JTAPI/548/2024 du 7 juin 2024</w:t>
      </w:r>
    </w:p>
    <w:p>
      <w:r>
        <w:t>IT: GE_GERICHTE JTAPI/548/2024 del 7 giugno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1.5</w:t>
      </w:r>
    </w:p>
    <w:p>
      <w:r>
        <w:t>;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w:t>
      </w:r>
    </w:p>
    <w:p>
      <w:r>
        <w:t>- 6/10 - A/387/2024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w:t>
      </w:r>
    </w:p>
    <w:p>
      <w:r>
        <w:rPr>
          <w:b/>
        </w:rPr>
        <w:t>E. 7</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w:t>
      </w:r>
    </w:p>
    <w:p>
      <w:r>
        <w:rPr>
          <w:b/>
        </w:rPr>
        <w:t>E. 7.1</w:t>
      </w:r>
    </w:p>
    <w:p>
      <w:r>
        <w:t>;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t>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F-4226/207 du 8 octobre 2019 consid. 4.5.1 ; C-857/2013 du 19 mai 2014 consid. 8.3 ; C- 3518/2011 du 16 mai 2013 consid. 5.1 ; C-2485/2011 du 11 avril 2013 consid. 6 ; C-6135/2008 du 11 août 2008 consid. 8.2 ; ATA/1280/2015 du 1er décembre 2015 consid. 12 ; ATA/940/2015 du 15 septembre 2015 consid. 7c ; directives LEI, ch. 4.3.1).</w:t>
      </w:r>
    </w:p>
    <w:p>
      <w:r>
        <w:rPr>
          <w:b/>
        </w:rPr>
        <w:t>E. 8</w:t>
      </w:r>
    </w:p>
    <w:p>
      <w:r>
        <w:t>En l'occurrence, M. C______ étant ressortissant iranien et non d'un pays membre de la Communauté européenne, la demande de permis déposée en sa faveur ne peut être examinée que sous l'angle de la LEI.</w:t>
      </w:r>
    </w:p>
    <w:p>
      <w:r>
        <w:rPr>
          <w:b/>
        </w:rPr>
        <w:t>E. 9</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10</w:t>
      </w:r>
    </w:p>
    <w:p>
      <w:r>
        <w:t>La juridiction administrative est liée par les conclusions des parties, sans pour autant être liée par les motifs invoqués (art. 69 al. 1 LPA).</w:t>
      </w:r>
    </w:p>
    <w:p>
      <w:r>
        <w:rPr>
          <w:b/>
        </w:rPr>
        <w:t>E. 11</w:t>
      </w:r>
    </w:p>
    <w:p>
      <w:r>
        <w:t>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w:t>
      </w:r>
    </w:p>
    <w:p>
      <w:r>
        <w:t>- 7/10 - A/387/2024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 ; ATA/1311/2020 du 15 décembre 2020 consid. 4a).</w:t>
      </w:r>
    </w:p>
    <w:p>
      <w:r>
        <w:rPr>
          <w:b/>
        </w:rPr>
        <w:t>E. 12</w:t>
      </w:r>
    </w:p>
    <w:p>
      <w:r>
        <w:t>En l'espèce, l'objet du litige porte sur le refus de l'OCIRT de délivrer une autorisation en vue d'une activité lucrative de courte durée non contingentée (art.18 LEI cum art.19 al. 4 let. a OASA) à M. C______. Il n'y a ainsi pas lieu d'examiner la situation sous l'angle du cas de rigueur, laquelle devrait faire l'objet d'une demande propre, sur la base de l’art. 30 al. 1 let. b LEI, traitée par l'OCPM.</w:t>
      </w:r>
    </w:p>
    <w:p>
      <w:r>
        <w:rPr>
          <w:b/>
        </w:rPr>
        <w:t>E. 13</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14</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15</w:t>
      </w:r>
    </w:p>
    <w:p>
      <w:r>
        <w:t>En raison de sa formulation potestative, l'art. 18 LEI ne confère aucun droit à la délivrance d’une autorisation de séjour pour activité lucrative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w:t>
      </w:r>
    </w:p>
    <w:p>
      <w:r>
        <w:rPr>
          <w:b/>
        </w:rPr>
        <w:t>E. 16</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w:t>
      </w:r>
    </w:p>
    <w:p>
      <w:r>
        <w:t>- 8/10 - A/387/2024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w:t>
      </w:r>
    </w:p>
    <w:p>
      <w:r>
        <w:rPr>
          <w:b/>
        </w:rPr>
        <w:t>E. 17</w:t>
      </w:r>
    </w:p>
    <w:p>
      <w:r>
        <w:t>L’art. 19 al. 4 let. a OASA prévoit qu’une autorisation non contingentée peut être délivrée à un étranger qui exerce une activité lucrative en Suisse durant un total de quatre mois au maximum sur une période de douze mois, pour autant : que la durée et le but de son séjour soient fixés d’avance (ch. 1) et que le nombre d’étrangers occupés durant ces courtes périodes ne dépasse le quart de l’effectif total du personnel de l’entreprise que dans des cas exceptionnels dûment motivés (ch. 2). Selon les directives établies par le secrétariat d’État aux migrations (ci-après : SEM) (directives et commentaires domaine des étrangers, version du 25 octobre 2013, état au 1er septembre 2023 [ci-après : directives LEI]) - qui ne lient pas le juge mais dont celui-ci peut tenir compte pour assurer une application uniforme de la loi envers chaque administré pourvu qu’elles respectent le sens et le but de la norme applicable (ATA/661/2012 du 25 septembre 2012 consid. 7 c et référence citée), comme ces autorisations de séjour et de travail ne sont pas contingentées, la décision préalable des autorités du marché du travail – qui demeure de la compétence des autorités cantonales – revêt une importance particulière. La priorité des travailleurs indigènes et des ressortissants de l’UE/AELE (art. 21 LEI) ainsi que les autres dispositions relatives au marché du travail sont applicables comme pour les décisions préalables</w:t>
      </w:r>
    </w:p>
    <w:p>
      <w:r>
        <w:t>- 9/10 - A/387/2024 relatives aux autorisations imputées sur le contingent. Il convient d’être particulièrement attentif à ce qu’elles soient respectées, en particulier le but effectif du séjour et à sa durée prévisible (directives LEI, ch. 4.2.2.1.1).</w:t>
      </w:r>
    </w:p>
    <w:p>
      <w:r>
        <w:rPr>
          <w:b/>
        </w:rPr>
        <w:t>E. 18</w:t>
      </w:r>
    </w:p>
    <w:p>
      <w:r>
        <w:t>En l'espèce, le tribunal considère que c'est à juste titre que l'OCIRT a refusé de donner une suite favorable à la demande d'autorisation de travail déposée en faveur de M. C______. Il ressort effectivement du dossier que l’ordre de priorité de l’art. 21 al. 1 LEI n’a pas été respecté. A cet égard, on observera que le niveau de recherches requis par la loi et la jurisprudence, en vue de trouver un travailleur correspondant aux exigences du poste sur le marché local ou européen, n'a de loin pas été atteint. La recourante n'a en effet apporté aucune preuve démontrant qu'elle avait fait tous les efforts possibles pour trouver un travailleur disponible en Suisse ou au sein de l'UE/AELE. En particulier, elle n'a pas annoncé le poste à l'OCE, n’a pas placé d'annonces dans la presse ou sur internet ni ne s’est adressée à l’IMAD. Même si l’on peut comprendre la volonté de la recourante de faire venir M. C______ en Suisse, au côté de son mari, il n’en demeure pas moins que les motifs invoqués à l’appui de la demande d’autorisation de travail relèvent avant tout de la convenance personnelle.</w:t>
      </w:r>
    </w:p>
    <w:p>
      <w:r>
        <w:rPr>
          <w:b/>
        </w:rPr>
        <w:t>E. 19</w:t>
      </w:r>
    </w:p>
    <w:p>
      <w:r>
        <w:t>L’une des conditions légales cumulatives applicables (art. 18 let. c cum 21 al. 1 LEI) n’ayant pas été respectée, il n’est pas nécessaire d’examiner si les autres conditions sont réalisées. Le tribunal relèvera néanmoins encore que, rien ne permet de considérer que l'emploi de M. C______ pourrait servir les intérêts économiques de la Suisse au sens de l’art. 18 let. a LEI, étant rappelé qu’il convient de ne pas confondre l’intérêt économique de la Suisse avec celui de l'employeur à engager une personne particulière. En l'absence d'éléments sur son parcours professionnel, il est enfin impossible d'examiner ses qualifications personnelles au sens de l'art. 23 LEI.</w:t>
      </w:r>
    </w:p>
    <w:p>
      <w:r>
        <w:rPr>
          <w:b/>
        </w:rPr>
        <w:t>E. 20</w:t>
      </w:r>
    </w:p>
    <w:p>
      <w:r>
        <w:t>Au vu de ce qui précède, il faut constater que le refus de l'OCIRT n'apparaît pas critiquable et que la décision querellée ne viole pas le droit fédéral.</w:t>
      </w:r>
    </w:p>
    <w:p>
      <w:r>
        <w:rPr>
          <w:b/>
        </w:rPr>
        <w:t>E. 21</w:t>
      </w:r>
    </w:p>
    <w:p>
      <w:r>
        <w:t>Mal fondé, le recours doit donc être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SEM.</w:t>
      </w:r>
    </w:p>
    <w:p>
      <w:r>
        <w:t>- 10/10 - A/387/2024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