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JTAPI/538/2024 vom 6. September 2023</w:t>
      </w:r>
    </w:p>
    <w:p>
      <w:r>
        <w:t>GE Cour de justice, 2023-09-06, FR</w:t>
      </w:r>
    </w:p>
    <w:p>
      <w:r>
        <w:rPr>
          <w:b/>
        </w:rPr>
        <w:t xml:space="preserve">Quelle: </w:t>
      </w:r>
      <w:r>
        <w:t>https://mcp.opencaselaw.ch/entscheid/ge_gerichte_JTAPI_538_2024</w:t>
      </w:r>
    </w:p>
    <w:p>
      <w:r>
        <w:t>FR: GE_GERICHTE JTAPI/538/2024 du 6 septembre 2023</w:t>
      </w:r>
    </w:p>
    <w:p>
      <w:r>
        <w:t>IT: GE_GERICHTE JTAPI/538/2024 del 6 settembre 2023</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w:t>
      </w:r>
    </w:p>
    <w:p>
      <w:r>
        <w:t>- 5/10 - A/1007/2024</w:t>
      </w:r>
    </w:p>
    <w:p>
      <w:r>
        <w:rPr>
          <w:b/>
        </w:rPr>
        <w:t>E. 2</w:t>
      </w:r>
    </w:p>
    <w:p>
      <w:r>
        <w:t>Interjeté en temps utile et dans les formes prescrites devant la juridiction compétente, le recours est recevable au sens des art.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4</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140 I 257 consid. 6.3.1 ; 137 V 71 consid. 5.1 ; 123 V 150 consid. 2 ; arrêt du Tribunal fédéral 1C_107/2016 du 28 juillet 2016 consid. 9 ; Thierry TANQUEREL, Manuel de droit administratif, 2011, n. 515 p. 171).</w:t>
      </w:r>
    </w:p>
    <w:p>
      <w:r>
        <w:rPr>
          <w:b/>
        </w:rPr>
        <w:t>E. 5</w:t>
      </w:r>
    </w:p>
    <w:p>
      <w:r>
        <w:t>Saisi d'un recours, le tribunal applique le droit d'office. S'il ne peut pas aller au-delà des conclusions des parties, il n'est pas lié par les motifs qu'elles invoquent (art. 69 al. 1 LPA ; cf. ATA/117/2016 du 9 février 2016 consid. 2 ; ATA/723/2015 du 14 juillet 2015 consid. 4a ; ATA/585/2015 du 9 juin 2015 ; ATA/285/2013 du</w:t>
      </w:r>
    </w:p>
    <w:p>
      <w:r>
        <w:rPr>
          <w:b/>
        </w:rPr>
        <w:t>E. 7</w:t>
      </w:r>
    </w:p>
    <w:p>
      <w:r>
        <w:t>Les permis et les autorisations seront retirés lorsque l’autorité constate que les conditions légales de leur délivrance ne sont pas ou ne sont plus remplies; ils pourront être retirés lorsque les restrictions ou les obligations imposées dans un cas particulier, lors de la délivrance, n’auront pas été observées (art. 16 al. 1 LCR).</w:t>
      </w:r>
    </w:p>
    <w:p>
      <w:r>
        <w:rPr>
          <w:b/>
        </w:rPr>
        <w:t>E. 8</w:t>
      </w:r>
    </w:p>
    <w:p>
      <w:r>
        <w:t>Lorsque la procédure prévue par la loi fédérale sur les amendes d’ordre du 24 juin 1970 (LAO - RS 741.03) n’est pas applicable, une infraction aux prescriptions sur la circulation routière entraîne le retrait du permis d'élève-conducteur ou du permis de conduire ou un avertissement (art. 16 al. 2 LCR).</w:t>
      </w:r>
    </w:p>
    <w:p>
      <w:r>
        <w:rPr>
          <w:b/>
        </w:rPr>
        <w:t>E. 9</w:t>
      </w:r>
    </w:p>
    <w:p>
      <w:r>
        <w:t>Pour déterminer la durée et s'il y a lieu de prononcer un retrait d'admonestation, la LCR distingue les infractions légères, moyennement graves et graves (art. 16a à 16c LCR).</w:t>
      </w:r>
    </w:p>
    <w:p>
      <w:r>
        <w:t>- 6/10 - A/1007/2024</w:t>
      </w:r>
    </w:p>
    <w:p>
      <w:r>
        <w:rPr>
          <w:b/>
        </w:rPr>
        <w:t>E. 10</w:t>
      </w:r>
    </w:p>
    <w:p>
      <w:r>
        <w:t>Selon l'art. 16c al. 1 let. b LCR, commet une infraction grave celui qui conduit un véhicule automobile en état d'ébriété et présente un taux d'alcool qualifié dans l'haleine ou dans le sang.</w:t>
      </w:r>
    </w:p>
    <w:p>
      <w:r>
        <w:rPr>
          <w:b/>
        </w:rPr>
        <w:t>E. 11</w:t>
      </w:r>
    </w:p>
    <w:p>
      <w:r>
        <w:t>Selon l'art. 2 de l'ordonnance de l'Assemblée fédérale concernant les taux limites d'alcool admis en matière de circulation routière du 15 juin 2012 (RS 741.13), ci-après : l'ordonnance, est considéré comme qualifié un taux d'alcool dans le sang de 0.8 gramme pour mille ou plus (let. a), ou un taux d'alcool dans l'haleine de 0.4 mg ou plus par litre d'air expiré (let. b).</w:t>
      </w:r>
    </w:p>
    <w:p>
      <w:r>
        <w:rPr>
          <w:b/>
        </w:rPr>
        <w:t>E. 12</w:t>
      </w:r>
    </w:p>
    <w:p>
      <w:r>
        <w:t>Ainsi que cela ressort notamment de la formulation de l'art. 16 al. 2 LCR (« une infraction aux prescriptions sur la circulation routière entraîne le retrait ») et de l'art. 16c al. 2 LCR (« le permis de conduire est retiré »), le retrait du permis de conduire est une mesure obligatoire, qui, dès que ses conditions légales sont remplies, doit être ordonnée par l'autorité, laquelle ne dispose d'aucun pouvoir d'appréciation à cet égard et ne saurait dès lors, par exemple, prononcer des sanctions de substitution à l'encontre du conducteur fautif, d'autant plus si celles-ci ne sont pas prévues par la loi.</w:t>
      </w:r>
    </w:p>
    <w:p>
      <w:r>
        <w:rPr>
          <w:b/>
        </w:rPr>
        <w:t>E. 13</w:t>
      </w:r>
    </w:p>
    <w:p>
      <w:r>
        <w:t>Après une infraction grave, le permis d'élève conducteur ou le permis de conduire est retiré pour trois mois au minimum (art. 16c al. 2 let. a LCR).</w:t>
      </w:r>
    </w:p>
    <w:p>
      <w:r>
        <w:t>L'art. 16c al. 2 let. c LCR prévoit toutefois que le permis de conduire est retiré pour douze mois au minimum si, au cours des cinq années précédentes, le permis a été retiré une fois en raison d'une infraction grave ou à deux reprises en raison d'infractions moyennement graves.</w:t>
      </w:r>
    </w:p>
    <w:p>
      <w:r>
        <w:rPr>
          <w:b/>
        </w:rPr>
        <w:t>E. 14</w:t>
      </w:r>
    </w:p>
    <w:p>
      <w:r>
        <w:t>En vertu de l'art. 16 al. 3 LCR, les circonstances qui doivent être prises en considérations pour fixer la durée du retrait du permis de conduire sont notamment l'atteinte à la sécurité routière, la gravité de la faute, les antécédents en tant que conducteur ainsi que la nécessité professionnelle de conduire un véhicule automobile ; la durée minimale du retrait ne peut être toutefois réduite. Ces éléments doivent faire l'objet d'une appréciation d'ensemble, de manière à atteindre autant que possible l'effet éducatif et préventif auquel tend la mesure. Dans ce contexte, l'autorité cantonale dispose d'un large pouvoir d'appréciation et l'autorité de recours n'intervient que si celle-ci a abusé de ce pouvoir, par exemple en ne prenant pas en compte certains éléments pertinents ou encore en appréciant leur portée de manière insoutenable (ATF 128 II 173 consid. 4b ; JdT 2002 I 593 et la jurisprudence citée). Il y a lieu ainsi de rechercher si des circonstances particulières ne justifient pas de considérer le cas comme plus grave ou, inversement, comme de moindre gravité (arrêt 1C_125/2016 du 25 octobre 2016).</w:t>
      </w:r>
    </w:p>
    <w:p>
      <w:r>
        <w:rPr>
          <w:b/>
        </w:rPr>
        <w:t>E. 15</w:t>
      </w:r>
    </w:p>
    <w:p>
      <w:r>
        <w:t>Lorsqu'il s'agit d'apprécier le besoin professionnel de conduire un véhicule automobile, il convient de respecter le principe de la proportionnalité. Le retrait du permis de conduire est ressenti plus durement par le conducteur qui en a besoin pour des raisons professionnelles, de sorte qu'un retrait plus court suffit, en règle générale, à l'admonester de manière efficace et à le dissuader de commettre de</w:t>
      </w:r>
    </w:p>
    <w:p>
      <w:r>
        <w:t>- 7/10 - A/1007/2024 nouvelles infractions. Un tel conducteur peut donc être privé de son permis moins longtemps que celui qui se limite à un usage commun, même si les fautes commises sont identiques. La réduction s'opère ainsi proportionnellement au degré de sensibilité à la sanction (ATF 128 II 285, consid. 2.4 ; 123 II 572, consid. 2c ; arrêt du Tribunal fédéral 1C_504/2011 du 7 mars 2012, consid. 4.1).</w:t>
      </w:r>
    </w:p>
    <w:p>
      <w:r>
        <w:rPr>
          <w:b/>
        </w:rPr>
        <w:t>E. 16</w:t>
      </w:r>
    </w:p>
    <w:p>
      <w:r>
        <w:t>Le besoin professionnel ne peut être pris en compte dans le cadre de la fixation de la durée d'un retrait de permis que dans la mesure où la privation de ce document revient à interdire à l'intéressé tout exercice de son activité lucrative ou entraîne pour lui une perte de gain telle ou des frais à ce point considérables que la mesure apparaît manifestement disproportionnée, comme ce serait le cas, par exemple, pour un chauffeur professionnel, un chauffeur de taxis, un livreur ou un routier (arrêts du Tribunal fédéral 1C_430/2011 du 7 mars 2012 consid. 4.2 ; 1C_63/2007 du 24 septembre 2007 consid. 4.4 ; SJ 1994 p. 534). Le Tribunal fédéral a ainsi nié l'utilité professionnelle du permis de conduire pour des agents d'assurances ou des courtiers immobiliers, au motif que les transports publics ou le taxi permettaient d'accéder à une clientèle potentielle suffisante dans des délais acceptables pour que l'activité professionnelle, bien qu'entravée d'une manière non négligeable, ne soit pas rendue impossible ou compliquée à l'excès (arrêts du Tribunal fédéral 1C_63/2007 du 24 septembre 2007, consid. 4.5 ; 6A.24/2005 du 24 juin 2005, consid. 3 ; arrêt 6A.104/2002 du 24 janvier 2003 consid. 3.2).</w:t>
      </w:r>
    </w:p>
    <w:p>
      <w:r>
        <w:rPr>
          <w:b/>
        </w:rPr>
        <w:t>E. 17</w:t>
      </w:r>
    </w:p>
    <w:p>
      <w:r>
        <w:t>En principe, l'autorité administrative statuant sur un retrait du permis de conduire est liée par les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 137 I 363 consid. 2.3.2 et les références citées ; arrêts du Tribunal fédéral 1C_470/2019 du 31 janvier 2020 consid. 5.1.2 ; 1C_611/2018 du 18 avril 2019 consid. 2.2 ; 1C_202/2018 du 18 septembre 2018 consid. 2.2 ; 1C_30/2017 du 21 avril 2017 consid. 2.1).</w:t>
      </w:r>
    </w:p>
    <w:p>
      <w:r>
        <w:rPr>
          <w:b/>
        </w:rPr>
        <w:t>E. 18</w:t>
      </w:r>
    </w:p>
    <w:p>
      <w:r>
        <w:t>À teneur de l'art. 42 al. 1 de la convention sur la circulation routière du 8 novembre 1968 (RS 0.741.10), conclue à Vienne le 8 novembre 1968, entrée en vigueur pour la Suisse le 11 décembre 1992 et pour la France le 9 décembre 1971, les parties contractantes ou leurs subdivisions peuvent retirer à un conducteur qui commet sur leur territoire une infraction susceptible d'entraîner le retrait du permis de conduire en vertu de leur législation le droit de faire usage sur leur territoire du permis de conduire, national ou international, dont il est titulaire.</w:t>
      </w:r>
    </w:p>
    <w:p>
      <w:r>
        <w:t>- 8/10 - A/1007/2024</w:t>
      </w:r>
    </w:p>
    <w:p>
      <w:r>
        <w:rPr>
          <w:b/>
        </w:rPr>
        <w:t>E. 19</w:t>
      </w:r>
    </w:p>
    <w:p>
      <w:r>
        <w:t>Le droit suisse prévoit que l'usage d'un permis étranger peut être interdit en vertu des dispositions qui s'appliquent au retrait du permis de conduire suisse (art. 45 al. 1 de l’ordonnance réglant l’admission des personnes et des véhicules à la circulation routière du 27 octobre 1976 (OAC - RS 741.51) ; cf. ATA/390/2018 du 24 avril 2018 consid. 3b).</w:t>
      </w:r>
    </w:p>
    <w:p>
      <w:r>
        <w:rPr>
          <w:b/>
        </w:rPr>
        <w:t>E. 20</w:t>
      </w:r>
    </w:p>
    <w:p>
      <w:r>
        <w:t>Les règles et principes énoncés ci-dessus sont donc applicables mutatis mutandis à l'interdiction de faire usage du permis de conduire étranger, notamment français, sur le territoire suisse.</w:t>
      </w:r>
    </w:p>
    <w:p>
      <w:r>
        <w:rPr>
          <w:b/>
        </w:rPr>
        <w:t>E. 21</w:t>
      </w:r>
    </w:p>
    <w:p>
      <w:r>
        <w:t>En l'occurrence, le recourant ayant définitivement été reconnu coupable par les juridictions pénales de, notamment, conduite en état d'ébriété avec un taux d'alcool qualifié de 0.98 mg/l à l’éthylomètre (art. 91 al. 2 let. a LCR), c'est à juste titre que l’OCV a qualifié la faute de grave et lui a interdit de faire usage de son permis de conduire étranger sur le territoire suisse pour une durée d’à tout le moins douze mois, en application de l’art. 16c al. 2 let. c LCR. En effet, dans le cadre de la fixation de la durée du retrait de permis, l’OCV devait prendre en compte, à titre d'antécédent, l’interdiction de faire usage du permis de conduire étranger sur le territoire suisse prononcée par décision du 13 août 2018, pour une durée de trois mois en raison d'une infraction grave, dès lors que l’exécution de cette mesure avait pris fin le 14 janvier 2019, soit moins de cinq ans avant la commission de la nouvelle infraction, survenue le 26 août 2023. L’OCV étant lié par cette durée minimale incompressible de douze mois, même en présence de besoins professionnels de conduire des véhicules avérés, seule se pose la question d’une réduction de la durée de l’interdiction de quatorze à douze mois. À cet égard, l'autorité explique s'être écartée du minimum légal prévu par l'art. 16c al. 2 let. c LCR, compte tenu de l'importance du taux d'alcool avec lequel l’intéressé a conduit. Comme vu ci-dessus, une infraction grave, au sens de l'art. 16c al. 1 let. b LCR, doit être retenue au détriment du recourant. Il convient dès lors de relever que sa faute, de même que la mise en danger induite par son comportement, sont manifestement graves. La mesure prononcée peut certes apparaître sévère et l'on comprend les inconvénients qu’elle représente pour le recourant. La décision querellée - limitée au territoire suisse – ne l'empêche toutefois pas de conduire en France. Le recourant - qui exerce la profession de courtier en assurance - ne peut enfin valablement se prévaloir d'un besoin professionnel de conduire au sens strict où l'entendent la jurisprudence et la doctrine ; il ne le prétend d’ailleurs pas. Dans ces conditions, le tribunal estime que l'OCV n'a pas excédé ou abusé de son large pouvoir d'appréciation, en tenant compte de l'importance du taux d'alcool avec lequel le recourant a conduit, pour s'écarter du minimum légal de douze mois, décision qui apparait dès lors conforme au principe de la proportionnalité, qui gouverne toute action étatique (art. 36 de la Constitution fédérale de la Confédération suisse du 18 avril 1999 - Cst. - RS 101).</w:t>
      </w:r>
    </w:p>
    <w:p>
      <w:r>
        <w:t>- 9/10 - A/1007/2024</w:t>
      </w:r>
    </w:p>
    <w:p>
      <w:r>
        <w:t>Dans ces conditions, la décision querellée ne peut être que confirmée et, partant, le recours rejeté. Cela étant, il sera donné acte à l’OCV de ce qu’il n’est pas opposé à réduire la durée de la mesure querellée de quatorze à treize mois à réception d’une attestation de participation du recourant à un cours dispensé par le BPA.</w:t>
      </w:r>
    </w:p>
    <w:p>
      <w:r>
        <w:rPr>
          <w:b/>
        </w:rPr>
        <w:t>E. 22</w:t>
      </w:r>
    </w:p>
    <w:p>
      <w:r>
        <w:t>En application des art. 87 al. 1 LPA et 1 et 2 du règlement sur les frais, émoluments et indemnités en procédure administrative du 30 juillet 1986 (RFPA - E 5 10.03), le recourant, qui succombe, est condamné au paiement d’un émolument s'élevant à CHF 800.- ; il est partiellement couvert par l’avance de frais versée à la suite du dépôt du recours. Vu l’issue du litige, aucune indemnité de procédure ne sera allouée (art. 87 al. 2 LPA).</w:t>
      </w:r>
    </w:p>
    <w:p>
      <w:r>
        <w:t>- 10/10 - A/1007/2024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