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JTAPI/538/2023 vom 12. Juni 2020</w:t>
      </w:r>
    </w:p>
    <w:p>
      <w:r>
        <w:t>GE Cour de justice, 2020-06-12, FR</w:t>
      </w:r>
    </w:p>
    <w:p>
      <w:r>
        <w:rPr>
          <w:b/>
        </w:rPr>
        <w:t xml:space="preserve">Quelle: </w:t>
      </w:r>
      <w:r>
        <w:t>https://mcp.opencaselaw.ch/entscheid/ge_gerichte_JTAPI_538_2023</w:t>
      </w:r>
    </w:p>
    <w:p>
      <w:r>
        <w:t>FR: GE_GERICHTE JTAPI/538/2023 du 12 juin 2020</w:t>
      </w:r>
    </w:p>
    <w:p>
      <w:r>
        <w:t>IT: GE_GERICHTE JTAPI/538/2023 del 12 giugno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Dans un premier grief, la recourante se plaint d'une violation de son droit d'être entendue, au motif que le département n'aurait pas pris en compte ses explications, notamment le fait qu'elle allait remettre le terrain en l'état naturel à l'angle F, évacuer les containers, les bennes, les matériaux de chantier, les engins de chantier et les palettes stockées au nord de la parcelle.</w:t>
      </w:r>
    </w:p>
    <w:p>
      <w:r>
        <w:rPr>
          <w:b/>
        </w:rPr>
        <w:t>E. 4</w:t>
      </w:r>
    </w:p>
    <w:p>
      <w:r>
        <w:t>Tel qu'il est garanti par l'art. 29 al. 2 de la Constitution fédérale de la Confédération suisse du 18 avril 1999 (Cst - RS 101)., le droit d'être entendu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 ATF 140 I 285 consid. 6.3.1). Il s'agit avant tout du droit des parties de faire valoir leur point de vue avant qu'une décision ne soit prise à leur détriment.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n° 1528 ss, p. 509 s ; ATA/523/2016 du 21 juin 2016 consid. 2b).</w:t>
      </w:r>
    </w:p>
    <w:p>
      <w:r>
        <w:rPr>
          <w:b/>
        </w:rPr>
        <w:t>E. 5</w:t>
      </w:r>
    </w:p>
    <w:p>
      <w:r>
        <w:t>En l’espèce, il ressort du dossier que le département a dûment invité la recourante à s'exprimer sur les éléments réalisés sur la parcelle en question dans son courrier du 29 avril 2022, ce que celle-ci a d'ailleurs fait le 11 mai 2022. Partant, quand bien même, le département n'a pas donné à ses explications, les suites que la recourante escomptait, il ne s'agit pas là d'une violation de son droit d'être entendue mais plutôt d'une question de fond qui sera examinée ci-après.</w:t>
      </w:r>
    </w:p>
    <w:p>
      <w:r>
        <w:t>- 6/12 - A/2596/2022 Ce grief doit dès lors être écarté.</w:t>
      </w:r>
    </w:p>
    <w:p>
      <w:r>
        <w:rPr>
          <w:b/>
        </w:rPr>
        <w:t>E. 6</w:t>
      </w:r>
    </w:p>
    <w:p>
      <w:r>
        <w:t>La recourante ne conteste pas que les constructions et installations visées par la décision litigieuse ont été érigées sans autorisation du département. Elle estime toutefois que l'ordre querellé ne se justifie pas compte tenu de son engagement de supprimer le tas de terre, de remettre le terrain en état et de débarrasser les containers, bennes, matériaux de chantier et engins de chantier et les palettes stockés. Elle reproche également au département de ne pas lui avoir laissé l'opportunité de régulariser la situation concernant le portail (C), la clôture (E) et le mur (D) par le dépôt d'une demande d'autorisation de construire, relevant que la parcelle était désassujettie et qu'ils ne créaient aucun problème en matière de sécurité ou d'esthétique.</w:t>
      </w:r>
    </w:p>
    <w:p>
      <w:r>
        <w:rPr>
          <w:b/>
        </w:rPr>
        <w:t>E. 7</w:t>
      </w:r>
    </w:p>
    <w:p>
      <w:r>
        <w:t>Aucune construction ou installation ne peut être créée ou transformée sans autorisation de l'autorité compétente (art. 22 al. 1 de la loi fédérale sur l'aménagement du territoire du 22 juin 1979 - LAT - RS 700).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8</w:t>
      </w:r>
    </w:p>
    <w:p>
      <w:r>
        <w:t>De jurisprudence constante,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ATF 123 II 256 consid. 3). L'exigence de la relation fixe avec le sol n'exclut pas la prise en compte de constructions mobilières, non ancrées de manière durable au sol et qui sont, cas échéant, facilement démontables (cf. ATA/208/2021 du 23 février 2021 consid. 5).</w:t>
      </w:r>
    </w:p>
    <w:p>
      <w:r>
        <w:rPr>
          <w:b/>
        </w:rPr>
        <w:t>E. 9</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voie publique (let. e).</w:t>
      </w:r>
    </w:p>
    <w:p>
      <w:r>
        <w:rPr>
          <w:b/>
        </w:rPr>
        <w:t>E. 10</w:t>
      </w:r>
    </w:p>
    <w:p>
      <w:r>
        <w:t>Aucun travail ne doit être entrepris avant que l'autorisation n'ait été délivrée (art. 1 al. 7 1ère phrase LCI).</w:t>
      </w:r>
    </w:p>
    <w:p>
      <w:r>
        <w:t>- 7/12 - A/2596/2022</w:t>
      </w:r>
    </w:p>
    <w:p>
      <w:r>
        <w:rPr>
          <w:b/>
        </w:rPr>
        <w:t>E. 11</w:t>
      </w:r>
    </w:p>
    <w:p>
      <w:r>
        <w:t>L’art. 1 al.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 ainsi que les garages et ateliers de réparations, les entrepôts, les dépôts de tous genres (let. c).</w:t>
      </w:r>
    </w:p>
    <w:p>
      <w:r>
        <w:rPr>
          <w:b/>
        </w:rPr>
        <w:t>E. 12</w:t>
      </w:r>
    </w:p>
    <w:p>
      <w:r>
        <w:t>En zone agricole, ne sont autorisées que les constructions et installations qui sont destinées durablement à l'activité agricole ou horticole et aux personnes l'exerçant à titre principal et qui respectent la nature et le paysage ainsi que les conditions fixées par les art. 34 ss de l'ordonnance sur l’aménagement du territoire du 28 juin 2000 (OAT - RS 700.1 ; art. 20 de la loi d'application de la loi fédérale sur l'aménagement du territoire du 4 juin 1987- LaLAT - L 1 30).</w:t>
      </w:r>
    </w:p>
    <w:p>
      <w:r>
        <w:rPr>
          <w:b/>
        </w:rPr>
        <w:t>E. 13</w:t>
      </w:r>
    </w:p>
    <w:p>
      <w:r>
        <w:t>Les conditions de dérogation pour des constructions hors de la zone à bâtir sont prévues par le droit fédéral (art. 24 à 24e LAT). Ces dispositions sont complétées ou reprises par les art. 27 ss LaLAT.</w:t>
      </w:r>
    </w:p>
    <w:p>
      <w:r>
        <w:rPr>
          <w:b/>
        </w:rPr>
        <w:t>E. 14</w:t>
      </w:r>
    </w:p>
    <w:p>
      <w:r>
        <w:t>En l’espèce, le portail (C), le mur (D), la clôture périphérique (E), les containers, bennes, matériaux de chantier, engins de chantier et les palettes (G), quand bien même ils ne seraient pas ancrés au sol et seraient facilement démontables ou déplaçables, occupent de manière durable des emplacements fixes depuis plusieurs années. Ces constructions/installations ont en outre une influence sur l’affectation du sol, initialement prévu pour l’exploitation agricole, et un impact visuel et paysager. Conformément à la jurisprudence susmentionnée, de tels aménagements sont soumis à autorisation de construire au sens des art. 22 LAT, 1 LCI et 1 RCI. Par ailleurs, si la recourante fait valoir que la plupart des objets visés sont des installations de peu d’importance, il convient de relever que la jurisprudence a écarté l’application du régime dérogatoire prévu par l’art. 1 al. 4 et 5 LCI pour les constructions de très peu d’importance - telle une pergola non couverte - en zone agricole et précisé que la surface et le degré d’importance des constructions en cause ne sont pas pertinentes en tant que cela ne change rien à leur caractère illicite (JTAPI/1029/2021 du 8 octobre 2021 consid. 10 et les références citées). S’agissant de savoir si ces éléments sont autorisables, il n'est pas contesté que la recourante n'exerce pas la profession d'agricultrice et qu'aucune des constructions et installations litigieuses n'est destinée à l’activité agricole. Partant, elles ne peuvent être considérées comme conformes à la zone agricole en vertu des dispositions précitées, et cela qu’elles soient ou non de peu d’importance, élément non pertinent pour juger de leur lien avec une activité agricole.</w:t>
      </w:r>
    </w:p>
    <w:p>
      <w:r>
        <w:t>- 8/12 - A/2596/2022 En conséquence, elles ne peuvent pas être autorisées en zone agricole, étant précisé qu’aucune dérogation des art. 24 ss LAT n’est en l’espèce applicable, l’implantation des aménagements litigieux hors de la zone à bâtir n’étant à l’évidence pas imposée par leur destination, ce que la recourante ne prétend du reste pas.</w:t>
      </w:r>
    </w:p>
    <w:p>
      <w:r>
        <w:rPr>
          <w:b/>
        </w:rPr>
        <w:t>E. 15</w:t>
      </w:r>
    </w:p>
    <w:p>
      <w:r>
        <w:t>La recourante conteste l’ordre de remise en état.</w:t>
      </w:r>
    </w:p>
    <w:p>
      <w:r>
        <w:rPr>
          <w:b/>
        </w:rPr>
        <w:t>E. 16</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 notamment en ordonner la remise en état, la réparation, la modification, la suppression ou la démolition (art. 129 let. e et 130 LCI).</w:t>
      </w:r>
    </w:p>
    <w:p>
      <w:r>
        <w:rPr>
          <w:b/>
        </w:rPr>
        <w:t>E. 17</w:t>
      </w:r>
    </w:p>
    <w:p>
      <w:r>
        <w:t>De jurisprudence constante (ATA/583/2022 du 31 mai 2022 consid. 5d), pour être valable, un ordre de mise en conformité doit respecter les conditions cumulatives suivantes : - l’ordre doit être dirigé contre le perturbateur, par comportement ou par situation ; - les installations en cause ne doivent pas avoir été autorisées en vertu du droit en vigueur au moment de leur réalisation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(ATA/1030/2018 du 2 octobre 2018 consid. 6c et les références citées). Jusqu'au changement de jurisprudence constitué par l'ATF 147 II 309, hors de la zone à bâtir, une cinquième condition était requise : il ne devait pas s'être écoulé un délai de plus de trente ans depuis l'exécution des travaux litigieux (ATA/1304/2020 du 15 décembre 2020).</w:t>
      </w:r>
    </w:p>
    <w:p>
      <w:r>
        <w:rPr>
          <w:b/>
        </w:rPr>
        <w:t>E. 18</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w:t>
      </w:r>
    </w:p>
    <w:p>
      <w:r>
        <w:t>- 9/12 - A/2596/2022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À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19</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w:t>
      </w:r>
    </w:p>
    <w:p>
      <w:r>
        <w:rPr>
          <w:b/>
        </w:rPr>
        <w:t>E. 20</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w:t>
      </w:r>
    </w:p>
    <w:p>
      <w:r>
        <w:t>- 10/12 - A/2596/2022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21</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rPr>
          <w:b/>
        </w:rPr>
        <w:t>E. 22</w:t>
      </w:r>
    </w:p>
    <w:p>
      <w:r>
        <w:t>En l’espèce, les quatre premières conditions nécessaires à la validité de l’ordre de mise en conformité sont réalisées. L’ordre a été adressé à la recourante, perturbatrice par situation et par comportement. Les constructions en cause n’ont pas été autorisées et ne sont pas autorisables comme cela a été vu plus haut. Le délai de péremption de trente ans ne s’applique pas en dehors de la zone à bâtir et il n’apparaît pas que le DT aurait créé d’une quelconque manière des expectatives légitimes qu’il se justifierait de protéger sous l’angle de la bonne foi ; la recourante ne l’invoque d’ailleurs pas. De plus, le fait que la recourante se soit engagée à supprimer certaines installations n'y change rien, ce d'autant moins qu'elle n'a apporté à ce sujet aucun élément probant. Ne reste dès lors qu’à déterminer si l’intérêt privé de la recourante l’emporte sur l’intérêt public au rétablissement d’une situation conforme au droit à la lumière des principes rappelés ci-dessus. À cet égard, force est tout d’abord d’admettre que l’ordre de remise en état est apte à protéger les intérêts publics compromis.</w:t>
      </w:r>
    </w:p>
    <w:p>
      <w:r>
        <w:t>- 11/12 - A/2596/2022 Les aménagements litigieux ayant été construits en zone agricole, l’intérêt public au rétablissement d’une situation conforme au droit, au respect de la séparation entre l’espace bâti et l’espace non bâti et à la limitation des constructions en zone agricole, tout particulièrement à Genève, est certain et doit primer par principe l’intérêt de la recourante, lequel relève essentiellement de la convenance personnelle. À cet égard, le fait que la parcelle en cause ne soit plus utilisée à des fins agricoles, ne change rien au fait qu’elle demeure actuellement affectée à la zone agricole et, partant, aux prescriptions applicables à cette zone. Pour le surplus, la recourante n’allègue pas, respectivement ne démontre pas, que la remise en état serait impossible ou qu’elle entraînerait des coûts disproportionnés. On ne voit enfin pas quelle mesure moins incisive permettrait de protéger les intérêts publics compromis, étant de plus rappelé que celui qui place l’autorité devant le fait accompli doit s’attendre à ce que celle-ci se préoccupe davantage de rétablir une situation conforme au droit qu’à éviter les inconvénients qui en découlent pour lui. L'ordre de remise apparaît donc fondé et proportionné.</w:t>
      </w:r>
    </w:p>
    <w:p>
      <w:r>
        <w:rPr>
          <w:b/>
        </w:rPr>
        <w:t>E. 23</w:t>
      </w:r>
    </w:p>
    <w:p>
      <w:r>
        <w:t>Entièrement mal fondé, le recours doit être rejeté et la décision confirmée.</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- 12/12 - A/2596/2022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