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JTAPI/537/2023 vom 11. Mai 2023</w:t>
      </w:r>
    </w:p>
    <w:p>
      <w:r>
        <w:t>GE Cour de justice, 2023-05-11, FR</w:t>
      </w:r>
    </w:p>
    <w:p>
      <w:r>
        <w:rPr>
          <w:b/>
        </w:rPr>
        <w:t xml:space="preserve">Quelle: </w:t>
      </w:r>
      <w:r>
        <w:t>https://mcp.opencaselaw.ch/entscheid/ge_gerichte_JTAPI_537_2023</w:t>
      </w:r>
    </w:p>
    <w:p>
      <w:r>
        <w:t>FR: GE_GERICHTE JTAPI/537/2023 du 11 mai 2023</w:t>
      </w:r>
    </w:p>
    <w:p>
      <w:r>
        <w:t>IT: GE_GERICHTE JTAPI/537/2023 del 11 maggio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t>- 6/14 - A/4442/2022</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5</w:t>
      </w:r>
    </w:p>
    <w:p>
      <w:r>
        <w:t>Le recourant sollicite sa comparution personnelle.</w:t>
      </w:r>
    </w:p>
    <w:p>
      <w:r>
        <w:rPr>
          <w:b/>
        </w:rPr>
        <w:t>E. 6</w:t>
      </w:r>
    </w:p>
    <w:p>
      <w:r>
        <w:t>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142 II 2018 consid. 2.3).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Le droit d’être entendu ne comprend pas le droit d’être entendu oralement (art. 41 in fine LPA ; ATF 140 I 68 consid. 9.6.1).</w:t>
      </w:r>
    </w:p>
    <w:p>
      <w:r>
        <w:rPr>
          <w:b/>
        </w:rPr>
        <w:t>E. 7</w:t>
      </w:r>
    </w:p>
    <w:p>
      <w:r>
        <w:t>En l’espèce, le recourant a eu l’occasion de s’exprimer par écrit à plusieurs reprises durant la présente procédure, d’exposer son point de vue et de produire</w:t>
      </w:r>
    </w:p>
    <w:p>
      <w:r>
        <w:t>- 7/14 - A/4442/2022 toutes les pièces qu’il estimait utiles à l’appui de ses allégués. L’autorité intimée a également répondu à son recours, se prononçant sur les griefs qu’elle estimait pertinents pour l’issue du litige et le recourant s'est vu octroyer la possibilité de répliquer, ce qu'il a fait. Le dossier comporte en outre tous les éléments pertinents et nécessaires à l’examen des griefs et arguments mis en avant par les parties, permettant ainsi au tribunal de se forger une opinion et de trancher le litige. Par conséquent, il n’y a pas lieu de procéder à l’audition du recourant, cet acte d’instruction ne se révélant pas utile et étant, en soi, non obligatoire pour le surplus.</w:t>
      </w:r>
    </w:p>
    <w:p>
      <w:r>
        <w:rPr>
          <w:b/>
        </w:rPr>
        <w:t>E. 8</w:t>
      </w:r>
    </w:p>
    <w:p>
      <w:r>
        <w:t>L’objet du litige consiste à déterminer si c’est à bon droit que l’OCPM a prononcé le renvoi du recourant.</w:t>
      </w:r>
    </w:p>
    <w:p>
      <w:r>
        <w:rPr>
          <w:b/>
        </w:rPr>
        <w:t>E. 9</w:t>
      </w:r>
    </w:p>
    <w:p>
      <w:r>
        <w:t>La LEI et ses ordonnances d'exécution règlent l'entrée, le séjour et la sortie de Suisse des étrangers dont le statut juridique n'est pas réglé par d'autres dispositions du droit fédéral ou par des traités internationaux conclus par la Suisse (art. 1 et 2 LEI), dont l'ALCP qui s'applique aux ressortissants des États membres de la Communauté européenne et de la Suisse (art. 1 ALCP).</w:t>
      </w:r>
    </w:p>
    <w:p>
      <w:r>
        <w:rPr>
          <w:b/>
        </w:rPr>
        <w:t>E. 10</w:t>
      </w:r>
    </w:p>
    <w:p>
      <w:r>
        <w:t>En l’occurrence, le recourant, ressortissant portugais, peut a priori se prévaloir de l’ALCP.</w:t>
      </w:r>
    </w:p>
    <w:p>
      <w:r>
        <w:rPr>
          <w:b/>
        </w:rPr>
        <w:t>E. 11</w:t>
      </w:r>
    </w:p>
    <w:p>
      <w:r>
        <w:t>Le Tribunal fédéral (arrêt 2C_1110/2013 du 17 avril 2014 consid. 3.2) a retenu, dans une affaire concernant un ressortissant portugais dont le titre de séjour avait pris fin en raison de sa détention d’une durée de deux ans en Allemagne, que l'art. 6 al. 5 annexe I ALCP, selon lequel les interruptions de séjour ne dépassant pas six mois consécutifs, ainsi que les absences motivées par l'accomplissement d'obligations militaires n’affectaient pas la validité du titre de séjour, prévoyait, pour la cause litigieuse, une réglementation semblable à celle de l’aLEtr, raison pour laquelle c’était cette dernière qui trouvait application.</w:t>
      </w:r>
    </w:p>
    <w:p>
      <w:r>
        <w:rPr>
          <w:b/>
        </w:rPr>
        <w:t>E. 12</w:t>
      </w:r>
    </w:p>
    <w:p>
      <w:r>
        <w:t>L'autorisation de séjour ou d'établissement prend fin lorsque l'étranger déclare son départ de Suisse (art. 61 al. 1 let. a LEI). Cette extinction s’opère de iure (arrêt du Tribunal administratif fédéral 139/2016 consid. 5.1 et les références citées). Sur demande, l'autorisation d'établissement peut être maintenue pendant quatre ans (art. 62 al. 2 LEI). L’art. 6 par. 5 Annexe I ALCP prévoit également que les interruptions de séjour ne dépassant pas six mois consécutifs n'affectent pas la validité du titre de séjour. Après un séjour à l’étranger, l’autorisation d’établissement peut être octroyée une nouvelle fois lorsque le requérant a déjà été titulaire d’une telle autorisation pendant dix ans au moins et que son séjour à l’étranger n’a pas duré plus de six ans (art. 61 al. 1 OASA, qui se réfère à l’art. 34 al. 3 LEI). L'art. 34 al. 3 LEI concerne donc une personne étrangère qui, après un séjour préalable de plusieurs</w:t>
      </w:r>
    </w:p>
    <w:p>
      <w:r>
        <w:t>- 8/14 - A/4442/2022 années, a quitté provisoirement la Suisse et veut y revenir (FF 2002 3547, Message du conseil fédéral concernant la loi sur les étrangers du 8 mars 2002, FF 2002 3469 ss, p. 3547).</w:t>
      </w:r>
    </w:p>
    <w:p>
      <w:r>
        <w:rPr>
          <w:b/>
        </w:rPr>
        <w:t>E. 13</w:t>
      </w:r>
    </w:p>
    <w:p>
      <w:r>
        <w:t>En matière d’un tel octroi anticipé d’une autorisation d’établissement, le ch. 3.5.3.2.1 de la directive édictée par le secrétariat d'État aux migrations (ci- après : SEM), domaine des étrangers, état au 1er mars 2023, pose le principe suivant : « Lorsque l’étranger sollicite une nouvelle autorisation après un séjour à l’étranger (art. 49 à 51 OASA), le SEM peut tenir compte de tout ou partie des séjours antérieurs passés en Suisse pour fixer la date à partir de laquelle une autorisation d’établissement peut être accordée (art. 61 OASA). Sont déterminants la durée des séjours antérieurs, les circonstances et la durée du séjour à l’étranger et le fait que l’étranger ait ou non été titulaire d’une autorisation d’établissement avant son départ de Suisse ».</w:t>
      </w:r>
    </w:p>
    <w:p>
      <w:r>
        <w:rPr>
          <w:b/>
        </w:rPr>
        <w:t>E. 14</w:t>
      </w:r>
    </w:p>
    <w:p>
      <w:r>
        <w:t>La jurisprudence a retenu qu’une durée de séjour en Suisse, au bénéfice d’une autorisation de séjour, d’au minimum deux ans, pouvait être considérée comme suffisante pour justifier l’octroi anticipé d’une autorisation d’établissement en application de l’art. 61 OASA (ATAF F-139/2016 du 11 avril 2017 consid. 5.2).</w:t>
      </w:r>
    </w:p>
    <w:p>
      <w:r>
        <w:rPr>
          <w:b/>
        </w:rPr>
        <w:t>E. 15</w:t>
      </w:r>
    </w:p>
    <w:p>
      <w:r>
        <w:t>En l’espèce, par formulaire du 3 mai 2021, le recourant a annoncé à l’OCPM son départ définitif de Suisse avec effet le 31 mai suivant. Il a par ailleurs indiqué qu’il ne conservait ni adresse, ni activité à Genève. L’extinction de son autorisation d’établissement s’est ainsi opérée de iure à cette date. Par ailleurs, conformément à l’art. 5 al. 1 let. a de la loi fédérale sur le libre passage dans la prévoyance professionnelle vieillesse, survivants et invalidité du</w:t>
      </w:r>
    </w:p>
    <w:p>
      <w:r>
        <w:rPr>
          <w:b/>
        </w:rPr>
        <w:t>E. 17</w:t>
      </w:r>
    </w:p>
    <w:p>
      <w:r>
        <w:t>Le recourant se prévaut également des dispositions de l’ALCP et de l’OLCP relatives aux salariés, aux personnes n’exerçant pas d’activité économique, ainsi qu’aux autorisations de séjour délivrées pour des motifs importants. Le raisonnement qui a été exposé ci-dessus peut être repris. La question de l’octroi d’une autorisation de séjour est exorbitante de l’objet du litige, étant relevé que l’intéressé ne dispose d’aucun permis lui permettant de résider en Suisse et n’en a jamais sollicité aucun auprès de l’OCPM. Ainsi que celui-ci le relève à juste titre dans son écriture du 25 avril 2023, il lui sera loisible, à sa sortie de détention, de déposer une demande d’autorisation de séjour avec ou sans activité lucrative, ou encore pour des motifs importants.</w:t>
      </w:r>
    </w:p>
    <w:p>
      <w:r>
        <w:rPr>
          <w:b/>
        </w:rPr>
        <w:t>E. 18</w:t>
      </w:r>
    </w:p>
    <w:p>
      <w:r>
        <w:t>Cela étant, le recourant soutient que son renvoi de Suisse viole l’art. 8 CEDH.</w:t>
      </w:r>
    </w:p>
    <w:p>
      <w:r>
        <w:rPr>
          <w:b/>
        </w:rPr>
        <w:t>E. 19</w:t>
      </w:r>
    </w:p>
    <w:p>
      <w:r>
        <w:t>Selon la jurisprudence, exceptionnellement et à des conditions restrictives, un étranger peut, en fonction des circonstances, se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Les relations ici visées sont avant tout celles qui existent entre époux, ainsi que les relations entre parents et enfants mineurs vivant en ménage commun (ATF 140 I 77 consid. 5.2). Pour autant, les liens familiaux ne sauraient conférer de manière absolue, en vertu de cette disposition, un droit d’entrée et de séjour (ATF 139 I 330 consid. 2.1). Une personne est en droit de résider durablement en Suisse si elle a la nationalité suisse ou si elle est au bénéfice d’une autorisation d’établissement ou d’un droit certain à une autorisation de séjour en Suisse (ATF 135 I 143 consid. 1.3.1).</w:t>
      </w:r>
    </w:p>
    <w:p>
      <w:r>
        <w:rPr>
          <w:b/>
        </w:rPr>
        <w:t>E. 20</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w:t>
      </w:r>
    </w:p>
    <w:p>
      <w:r>
        <w:t>- 10/14 - A/4442/2022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(ibid.).</w:t>
      </w:r>
    </w:p>
    <w:p>
      <w:r>
        <w:rPr>
          <w:b/>
        </w:rPr>
        <w:t>E. 21</w:t>
      </w:r>
    </w:p>
    <w:p>
      <w:r>
        <w:t>Les conditions posées par la jurisprudence pour pouvoir invoquer l’art. 8 CEDH sont cumulatives (arrêts du Tribunal fédéral 2C_520/2016 du 13 janvier 2017 consid. 4.4).</w:t>
      </w:r>
    </w:p>
    <w:p>
      <w:r>
        <w:rPr>
          <w:b/>
        </w:rPr>
        <w:t>E. 22</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(ATF 144 I 91 consid. 5.2.1).</w:t>
      </w:r>
    </w:p>
    <w:p>
      <w:r>
        <w:rPr>
          <w:b/>
        </w:rPr>
        <w:t>E. 23</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w:t>
      </w:r>
    </w:p>
    <w:p>
      <w:r>
        <w:rPr>
          <w:b/>
        </w:rPr>
        <w:t>E. 24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w:t>
      </w:r>
    </w:p>
    <w:p>
      <w:r>
        <w:t>- 11/14 - A/4442/2022 visite est très éloigné de la Suisse (par exemple : le Mexique, ATF 144 I 91 consid. 5.2.3).</w:t>
      </w:r>
    </w:p>
    <w:p>
      <w:r>
        <w:rPr>
          <w:b/>
        </w:rPr>
        <w:t>E. 25</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w:t>
      </w:r>
    </w:p>
    <w:p>
      <w:r>
        <w:rPr>
          <w:b/>
        </w:rPr>
        <w:t>E. 26</w:t>
      </w:r>
    </w:p>
    <w:p>
      <w:r>
        <w:t>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(arrêt du Tribunal fédéral 2C_639/2012 du 13 février 2013 consid. 4.3). Les dispositions de la CDE ne font toutefois pas de l’intérêt de l’enfant un critère exclusif, mais un élément d’appréciation, dont l’autorité doit tenir compte lorsqu’il s’agit de mettre en balance les différents intérêts en présence, étant relevé que les dispositions de cette convention ne confèrent aucune prétention directe à l’octroi d’une autorisation de séjour (ATF 139 I 315 consid. 2.4).</w:t>
      </w:r>
    </w:p>
    <w:p>
      <w:r>
        <w:rPr>
          <w:b/>
        </w:rPr>
        <w:t>E. 27</w:t>
      </w:r>
    </w:p>
    <w:p>
      <w:r>
        <w:t>En l’espèce, B______ et C______ disposent d’un droit durable de séjourner en Suisse, puisqu’ils en sont ressortissants. En conséquence, le recourant – leur père – peut a priori se prévaloir de l’art. 8 CEDH. Il ne ressort pas des pièces du dossier que le recourant et Mme D______ ont effectué une déclaration commune au sens de l’art. 298a al. 1 du Code civil suisse du 10 décembre 1907 (CC - RS 210). Dès lors, B______ et C______ sont soumis à l’autorité parentale exclusive de leur mère (art. 298a al. 5 CC). Dans son recours, M. A______ allègue qu’il entretenait des relations régulières avec ses enfants avant son incarcération. Cependant, il n’apporte aucun élément propre à démontrer cette affirmation, se contentant d’offrir de prouver cette allégation par sa comparution personnelle. Or, le fait de répéter en audience les termes de ses écritures ne confère, en soi, aucune valeur probante supplémentaire à de telles déclarations par rapport aux explications déjà données par écrit (JTAPI/150/2023 du 7 février 2023 consid. 7). Il convient dès lors de retenir que l’intéressé n’a pas justifié l’existence d’un lien affectif fort avec B______ et C______. Il ne peut pas non plus se prévaloir de relations étroites et effectives avec eux d'un point de vue affectif économique. En effet, non seulement il n’apporte aucune pièce démontrant qu’il les a entretenus, mais surtout, il a admis</w:t>
      </w:r>
    </w:p>
    <w:p>
      <w:r>
        <w:t>- 12/14 - A/4442/2022 devant la police, le 18 mai 2022, ne pas avoir versé à leur mère la contribution pour leur entretien des mois de septembre 2020 à novembre 2021. Le recourant ne peut en outre pas se prévaloir d’un comportement irréprochable, étant donné qu’il a été condamné pénalement le 20 septembre 2022 à une peine privative de liberté de dix-huit mois par le Tribunal de police, notamment pour brigandage aggravé, infraction qualifiée de crime (art. 10 al. 2 et 140 ch. 1 al. 1 et 2 du Code pénal suisse du 21 décembre 1937 - CP - RS 311.0). Ressortissant communautaire, l’intéressé a le droit de se rendre en Suisse sans visa et y séjourner jusqu’à trois mois par période de six mois, ce qui est largement compatible avec l’organisation de visites à B______ et C______. En outre, le Portugal peut être atteint depuis la Suisse en deux heures et demie environ par avion. En conséquence, le renvoi du recourant dans son pays d’origine ne rendra pas illusoire le maintien des relations avec son fils et sa fille. Pour le surplus, s’il est de manière générale préférable que des enfants puissent grandir aux côtés de leur père, il faut rappeler que la CDE n’accorde ni à l’enfant ni à ses parents un droit à la réunion de la famille dans un État particulier ou une prétention directe à l’obtention d’une autorisation de séjour.</w:t>
      </w:r>
    </w:p>
    <w:p>
      <w:r>
        <w:rPr>
          <w:b/>
        </w:rPr>
        <w:t>E. 28</w:t>
      </w:r>
    </w:p>
    <w:p>
      <w:r>
        <w:t>Enfin, s’il est exact que dans sa jurisprudence récente, le Tribunal fédéral a jugé qu’un séjour légal d’environ dix ans permettait en principe de se prévaloir de l’art. 8 CEDH sous l’angle de la vie privée (ATF 144 I 266 consid. 3.9), le recourant ne peut invoquer cette disposition qui, sous cet angle étroit, n’ouvre le droit à une autorisation de séjour qu’à des conditions très restrictives, l’étranger devant en effet établir l’existence de liens sociaux et professionnels spécialement intenses avec la Suisse, notablement supérieurs à ceux qui résultent d’une intégration ordinaire. En effet, il ne séjourne pas légalement en Suisse depuis dix ans. Ayant quitté définitivement la Suisse en mai 2021, il réside actuellement sans titre de séjour. En outre, les conditions très restrictives précitées ne sont pas remplies en l’espèce, tel que cela ressort des considérants qui précèdent (ATF 130 II 281 consid. 3.2.1). Il en résulte que le recourant ne peut se fonder sur l’art. 8 CEDH pour s’opposer à son renvoi.</w:t>
      </w:r>
    </w:p>
    <w:p>
      <w:r>
        <w:rPr>
          <w:b/>
        </w:rPr>
        <w:t>E. 29</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30</w:t>
      </w:r>
    </w:p>
    <w:p>
      <w:r>
        <w:t>Le renvoi constitue la conséquence logique et inéluctable du rejet d'une demande tendant à la délivrance ou la prolongation d'une autorisation de séjour, l'autorité ne</w:t>
      </w:r>
    </w:p>
    <w:p>
      <w:r>
        <w:t>- 13/14 - A/4442/2022 disposant à ce titre d'aucun pouvoir d'appréciation (ATA/1118/2020 du 10 novembre 2020 consid. 11a).</w:t>
      </w:r>
    </w:p>
    <w:p>
      <w:r>
        <w:rPr>
          <w:b/>
        </w:rPr>
        <w:t>E. 31</w:t>
      </w:r>
    </w:p>
    <w:p>
      <w:r>
        <w:t>Le recourant n’obtenant pas de titre de séjour, c'est à bon droit que l'autorité intimée a prononcé son renvoi de Suisse, ne disposant dans ce cadre d’aucun pouvoir d’appréciation.</w:t>
      </w:r>
    </w:p>
    <w:p>
      <w:r>
        <w:rPr>
          <w:b/>
        </w:rPr>
        <w:t>E. 32</w:t>
      </w:r>
    </w:p>
    <w:p>
      <w:r>
        <w:t>Ne reposant sur aucun motif valable, le recours doit être rejeté.</w:t>
      </w:r>
    </w:p>
    <w:p>
      <w:r>
        <w:rPr>
          <w:b/>
        </w:rPr>
        <w:t>E. 33</w:t>
      </w:r>
    </w:p>
    <w:p>
      <w:r>
        <w:t>Dès lors que le présent jugement tranche le fond du litige, la demande de restitution de l’effet suspensif devient sans objet.</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500.-.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35</w:t>
      </w:r>
    </w:p>
    <w:p>
      <w:r>
        <w:t>En vertu des art. 89 al. 2 et 111 al. 2 de la loi sur le Tribunal fédéral du 17 juin 2005 (LTF - RS 173.110), le présent jugement sera communiqué au secrétariat d'État aux migrations.</w:t>
      </w:r>
    </w:p>
    <w:p>
      <w:r>
        <w:t>- 14/14 - A/4442/2022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