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JTAPI/536/2024 vom 4. Juni 2024</w:t>
      </w:r>
    </w:p>
    <w:p>
      <w:r>
        <w:t>GE Cour de justice, 2024-06-04, FR</w:t>
      </w:r>
    </w:p>
    <w:p>
      <w:r>
        <w:rPr>
          <w:b/>
        </w:rPr>
        <w:t xml:space="preserve">Quelle: </w:t>
      </w:r>
      <w:r>
        <w:t>https://mcp.opencaselaw.ch/entscheid/ge_gerichte_JTAPI_536_2024</w:t>
      </w:r>
    </w:p>
    <w:p>
      <w:r>
        <w:t>FR: GE_GERICHTE JTAPI/536/2024 du 4 juin 2024</w:t>
      </w:r>
    </w:p>
    <w:p>
      <w:r>
        <w:t>IT: GE_GERICHTE JTAPI/536/2024 del 4 giugno 2024</w:t>
      </w:r>
    </w:p>
    <w:p>
      <w:pPr>
        <w:pStyle w:val="Heading2"/>
      </w:pPr>
      <w:r>
        <w:t>Erwägungen</w:t>
      </w:r>
    </w:p>
    <w:p>
      <w:r>
        <w:rPr>
          <w:b/>
        </w:rPr>
        <w:t>E. 16</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17</w:t>
      </w:r>
    </w:p>
    <w:p>
      <w:r>
        <w:t>Dès lors qu’il a refusé de soumettre le dossier de la recourante au SEM en vue de la délivrance d’une autorisation de séjour pour cas de rigueur, l’OCPM devait ordonner son renvoi de Suisse en application de l’art. 64 al. 1 let. c LEI, ne disposant, dans ce cadre, d’aucun pouvoir d’appréciation.</w:t>
      </w:r>
    </w:p>
    <w:p>
      <w:r>
        <w:rPr>
          <w:b/>
        </w:rPr>
        <w:t>E. 18</w:t>
      </w:r>
    </w:p>
    <w:p>
      <w:r>
        <w:t>Reste toutefois à déterminer si l’exécution du renvoi est conforme à l’art. 83 LEI, plus particulièrement, sous l’angle de l’exigibilité.</w:t>
      </w:r>
    </w:p>
    <w:p>
      <w:r>
        <w:rPr>
          <w:b/>
        </w:rPr>
        <w:t>E. 19</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t>- 17/20 - A/543/2024</w:t>
      </w:r>
    </w:p>
    <w:p>
      <w:r>
        <w:rPr>
          <w:b/>
        </w:rPr>
        <w:t>E. 20</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21</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w:t>
      </w:r>
    </w:p>
    <w:p>
      <w:r>
        <w:rPr>
          <w:b/>
        </w:rPr>
        <w:t>E. 22</w:t>
      </w:r>
    </w:p>
    <w:p>
      <w:r>
        <w:t>En l’occurrence, rien au dossier ne permet de retenir que les problèmes médicaux de la recourante présentent une gravité telle que l’exécution de son renvoi en Mongolie la mettrait de manière imminente, sérieusement et concrètement en danger, étant souligné que les soins essentiels peuvent être obtenus dans son pays (arrêt du Tribunal administratif fédéral E-6376/2015 du 29 mars 2016) et que</w:t>
      </w:r>
    </w:p>
    <w:p>
      <w:r>
        <w:t>- 18/20 - A/543/2024 l’ambassade a confirmé, en septembre 2023, que les affections dont elle souffre peuvent y être traitées. A cet égard, le fait que les soins prodigués en Mongolie afin de traiter le diabète ne soient pas d’une qualité équivalente à celle proposée en Suisse et/ou que le traitement médicamenteux dont elle bénéficie à ce jour pourrait devoir être modifié par le corps médical, ne saurait être considéré comme un obstacle insurmontable au renvoi dans le pays d’origine. En effet, le fait qu’un traitement de substitution serait dans l’absolu moins efficace ou susceptible d’entrainer des effets dérangeants est regrettable, mais ne saurait pour autant rendre le renvoi illicite. Au surplus,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en Mongolie et, si la disponibilité permanente du traitement qui lui est actuellement administré ne devait pas y être garantie, changer de médication avec l’aide du corps médical, voire de s’organiser pour se faire acheminer la médication prescrite depuis l’étranger. À cet égard, la Croix-Rouge genevoise, par le biais de son service d’aide au retour, peut fournir des prestations d’aide au retour, listées à l’art. 19A du règlement d’exécution de la loi sur l’insertion et l’aide sociale individuelle du 25 juillet 2007 (RIASI - J 4 04.01), dont une aide médicale destinée à la prise en charge de médicaments pendant une durée de trois mois, à concurrence de CHF 1’500.-, aux personnes remplissant les conditions de l’art. 17A RIASI, ce qui semblerait être le cas de la recourante. De plus, le canton de Genève peut également verser une aide financière (art. 33 al. 2 RIASI ; cf. ATA/1279/2019 du 27 août 2019 consid. 8). Au besoin, une assistance et une coordination médicales pourront aussi lui être octroyées au moment de l’exécution du renvoi afin de la soutenir dans cette phase de retour (cf. arrêt du Tribunal administratif fédéral F-6799/2018 du 11 février 2019 consid. 6.2.2.2). Enfin, rien n’indique que le soutien financier qu’elle perçoit actuellement de la part de sa fille ne pourrait pas perdurer une fois de retour en Mongolie. Il convient aussi de considérer que la recourante devrait vraisemblablement pouvoir y percevoir une pension de retraite, ayant travaillé dans son pays d’origine et ayant atteint l’âge de la retraite (cf. http://www.pension-watch.net/country-data/mongolia/, consulté ce jour). En conclusion, en l’absence d’éléments démontrant que le retour de la recourante en Mongolie la mettrait concrètement en danger compte tenu de sa situation médicale, il convient de retenir que l’exécution de son renvoi est raisonnablement exigible au sens de l’art. 83 LEI, de sorte que l’OCPM n’avait pas à proposer son admission provisoire au SEM.</w:t>
      </w:r>
    </w:p>
    <w:p>
      <w:r>
        <w:rPr>
          <w:b/>
        </w:rPr>
        <w:t>E. 23</w:t>
      </w:r>
    </w:p>
    <w:p>
      <w:r>
        <w:t>En tous points mal fondé, le recours sera dès lors rejeté.</w:t>
      </w:r>
    </w:p>
    <w:p>
      <w:r>
        <w:rPr>
          <w:b/>
        </w:rPr>
        <w:t>E. 24</w:t>
      </w:r>
    </w:p>
    <w:p>
      <w:r>
        <w:t>En application des art. 87 al. 1 LPA et 1 et 2 du règlement sur les frais, émoluments et indemnités en procédure administrative du 30 juillet 1986 (RFPA - E 5 10.03),</w:t>
      </w:r>
    </w:p>
    <w:p>
      <w:r>
        <w:t>- 19/20 - A/543/2024 la recourante, qui succombe, est condamnée au paiement d’un émolument s’élevant à CHF 500.-. Vu l’issue du litige, aucune indemnité de procédure ne lui sera allouée (art. 87 al. 2 LPA). La recourante étant au bénéfice de l’assistance juridique suite à la décision de la vice-présidente du Tribunal de première instance du 20 mars 2024,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25</w:t>
      </w:r>
    </w:p>
    <w:p>
      <w:r>
        <w:t>En vertu des art. 89 al. 2 et 111 al. 2 de la loi sur le Tribunal fédéral du 17 juin 2005 (LTF - RS 173.110), le présent jugement sera communiqué au SEM.</w:t>
      </w:r>
    </w:p>
    <w:p>
      <w:r>
        <w:t>- 20/20 - A/543/2024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