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JTAPI/534/2024 vom 25. Mai 2024</w:t>
      </w:r>
    </w:p>
    <w:p>
      <w:r>
        <w:t>GE Cour de justice, 2024-05-25, FR</w:t>
      </w:r>
    </w:p>
    <w:p>
      <w:r>
        <w:rPr>
          <w:b/>
        </w:rPr>
        <w:t xml:space="preserve">Quelle: </w:t>
      </w:r>
      <w:r>
        <w:t>https://mcp.opencaselaw.ch/entscheid/ge_gerichte_JTAPI_534_2024</w:t>
      </w:r>
    </w:p>
    <w:p>
      <w:r>
        <w:t>FR: GE_GERICHTE JTAPI/534/2024 du 25 mai 2024</w:t>
      </w:r>
    </w:p>
    <w:p>
      <w:r>
        <w:t>IT: GE_GERICHTE JTAPI/534/2024 del 25 maggio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w:t>
      </w:r>
    </w:p>
    <w:p>
      <w:r>
        <w:t>- 7/9 - A/1793/2024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même si les déclarations des époux sont pour l’essentiel contradictoires, il ressort néanmoins clairement de ces dernières, que la situation au sein du couple est conflictuelle et tendue. Les intéressés admettent en être venus aux mains. Il ressort en outre du rapport de renseignements du 25 mai 2024 que les enfants du couple étaient présents dans l’appartement lors de l'altercation du même jour, sans que l’on sache toutefois s’ils ont effectivement assisté à la scène, la déclaration de leurs parents étant contradictoires à cet égard. En tout état, les faits tels que décrits par les deux époux correspondent sans conteste à la notion de violence domestique, au sens défini plus haut. Dans ces circonstances, la question n'est pas de savoir lequel des intéressés est plus responsable que l'autre de la situation, ce qui est bien souvent impossible à établir. L'essentiel est de séparer les conjoints en étant au moins à peu près certain que celui qui est éloigné du domicile conjugal est lui aussi l'auteur de violences, lesquelles peuvent également être psychologiques. Il sera au surplus tenu compte de la situation de plus grande vulnérabilité de Mme B______, mère de trois enfants entre cinq et douze ans, qui semble disposer de peu de soutien à Genève et ne parle pas ou mal le français. Dans ces circonstances, vu en particulier le caractère récent des événements, de la situation visiblement conflictuelle et complexe dans laquelle les deux intéressés se trouvent et de la volonté clairement exprimée par les époux de ne plus souhaiter poursuivre la vie commune, la perspective qu'ils se retrouvent immédiatement sous le même toit apparaît inopportune, quand bien même il est évident qu'une mesure d'éloignement administrative ne permettra pas, à elle seule, de régler la situation.</w:t>
      </w:r>
    </w:p>
    <w:p>
      <w:r>
        <w:t>- 8/9 - A/1793/2024 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M. A______. Prise pour une durée de 10 jours, soit la durée la plus courte prévue par la loi, elle n'apparaît pas d'emblée disproportionnée, l’intéressé ayant expliqué qu’il disposait désormais d’une chambre temporaire au G______, qu’il n’avait pas l’intention de revenir vivre au domicile familial et qu’il cherchait activement un nouveau logement. Dans ces conditions, l'atteinte à sa liberté personnelle résultant de la décision entreprise, qui apparaît utile, nécessaire et opportune, demeure acceptable, étant observé qu'aucune autre mesure moins incisive ne serait envisageable pour atteindre le but fixé par la LVD.</w:t>
      </w:r>
    </w:p>
    <w:p>
      <w:r>
        <w:rPr>
          <w:b/>
        </w:rPr>
        <w:t>E. 6</w:t>
      </w:r>
    </w:p>
    <w:p>
      <w:r>
        <w:t>L'opposition à la mesure sera donc rejetée.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- 9/9 - A/1793/2024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