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JTAPI/533/2024 vom 31. Mai 2024</w:t>
      </w:r>
    </w:p>
    <w:p>
      <w:r>
        <w:t>GE Cour de justice, 2024-05-31, FR</w:t>
      </w:r>
    </w:p>
    <w:p>
      <w:r>
        <w:rPr>
          <w:b/>
        </w:rPr>
        <w:t xml:space="preserve">Quelle: </w:t>
      </w:r>
      <w:r>
        <w:t>https://mcp.opencaselaw.ch/entscheid/ge_gerichte_JTAPI_533_2024</w:t>
      </w:r>
    </w:p>
    <w:p>
      <w:r>
        <w:t>FR: GE_GERICHTE JTAPI/533/2024 du 31 mai 2024</w:t>
      </w:r>
    </w:p>
    <w:p>
      <w:r>
        <w:t>IT: GE_GERICHTE JTAPI/533/2024 del 31 maggio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28 mai 2024 à 16h30.</w:t>
      </w:r>
    </w:p>
    <w:p>
      <w:r>
        <w:rPr>
          <w:b/>
        </w:rPr>
        <w:t>E. 3</w:t>
      </w:r>
    </w:p>
    <w:p>
      <w:r>
        <w:t>Le tribunal peut confirmer, réformer ou annuler la décision du commissaire de police ; le cas échéant, il ordonne la mise en liberté de l’étranger (art. 9 al. 3 LaLEtr).</w:t>
      </w:r>
    </w:p>
    <w:p>
      <w:r>
        <w:rPr>
          <w:b/>
        </w:rPr>
        <w:t>E. 3.3</w:t>
      </w:r>
    </w:p>
    <w:p>
      <w:r>
        <w:t>; 2C_806/2010 du 21 octobre 2010 consid. 2.1 ; 2C_400/2009 du 16 juillet 2009 consid. 3.1).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L'art. 76 al. 1 let. b ch. 1, LEI, renvoyant à l'art 75 al. 1 let. c, g et h de cette même loi, dispose qu'une mesure de détention administrative peut être ordonnée si une décision de première instance de renvoi ou d'expulsion a été notifiée à l'intéressé et que celui-ci franchit la frontière malgré une interdiction d'entrée en Suisse et ne peut pas être renvoyé immédiatement (let. c), ou qu'il menace sérieusement d’autres personnes ou met gravement en danger leur vie ou leur intégrité corporelle et que, pour ce motif, il fait l’objet d’une poursuite pénale ou a été condamné (let. g), ou qu'il a été condamné pour crime (let. h), par quoi il faut entendre une infraction passible d'une</w:t>
      </w:r>
    </w:p>
    <w:p>
      <w:r>
        <w:t>- 5/9 - A/1806/2024 peine privative de liberté de plus de trois ans (cf. art. 10 al. 2 CP ; ATA/220/2018 du 8 mars 2018 consid. 4a ; ATA/997/2016 du 23 novembre 2016 consid. 4a ; ATA/295/2011 du 12 mai 2011 consid. 4).</w:t>
      </w:r>
    </w:p>
    <w:p>
      <w:r>
        <w:rPr>
          <w:b/>
        </w:rPr>
        <w:t>E. 5.1</w:t>
      </w:r>
    </w:p>
    <w:p>
      <w:r>
        <w:t>; arrêts du Tribunal fédéral 2C_765/2015 du 18 septembre 2015 consid. 5.3 ; 2C_218/2013 du 26 mars 2013 consid. 5.1 ; 2C_624/2011 du 12 septembre 2011 consid. 2.1 ; 2C_974/2010 du 11 janvier 2011 consid. 3.1 et 2C_756/2009 du 15</w:t>
      </w:r>
    </w:p>
    <w:p>
      <w:r>
        <w:t>- 6/9 - A/1806/2024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6</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rPr>
          <w:b/>
        </w:rPr>
        <w:t>E. 7</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8</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9</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10</w:t>
      </w:r>
    </w:p>
    <w:p>
      <w:r>
        <w:t>En l'occurrence, M. A______ fait l'objet d'une mesure d'expulsion judiciaire ordonnée par le Tribunal de police genevois en janvier 2019 pour une durée de dix ans, mesure qu'il n'a pas respectée en revenant sans droit en Suisse, après avoir été expulsé en 2020. Il est dépourvu de tout document d'identité et n'a entrepris aucune démarche pour en obtenir. Il ne collabore enfin aucunement à son identification, ce qui oblige les autorités à le présenter à différentes délégations étrangères. Le choix de le présenter prochainement devant une délégation de la Sierra Leone, ne prête d'ailleurs pas le flanc à la critique. En outre, il a répété son opposition à son renvoi en Sierra Leone devant le tribunal de céans. Il n'a par ailleurs aucune source de revenu licite ni aucune attache à Genève. Au vu de ces éléments, on peut admettre l'existence d'un risque réel et concret que, s'il était libéré à présent, il n'obtempérerait pas aux instructions de l'autorité lorsque celle-ci lui ordonnera de monter à bord de l'avion devant le reconduire dans son pays et qu'il pourra être amené à disparaître dans la clandestinité, situation visée par le motif de détention prévu par l'art. 76 al. 1 let. b ch. 3 et 4 LEI (cf. ATF 140 II 1 consid. 5.3 ; arrêts du Tribunal fédéral 2C_381/2016 du 23 mai 2016 consid. 4.1 ; 2C_105/2016 du 8 mars 2016 consid. 5.2 ; 2C_951/2015 du 17 novembre 2015 consid. 2.2 ; 2C_658/2014 du 7 août 2014 consid. 1.2). Le principe de la légalité est donc respecté. Sa détention se justifie dès lors en application des art. 75 al. 1 let. c en lien avec l'art. 76 al. 1 let. b ch 1 LEI et 76 al. 1 let. b ch. 3 et 4 LEI sans qu'il soit nécessaire d'examiner si les conditions de l'art. 75 al.1 let. g et h LEI sont également réunies. L'assurance de son départ de Suisse répond par ailleurs à un intérêt public certain et toute autre mesure moins incisive que la détention administrative serait vaine pour assurer sa présence les 17 et 18 juin 2024 lorsqu’il sera amené à Berne en vue de son audition pas une délégation de Sierra Leone puis, une fois sa nationalité déterminée (si nécessaire, après d'ultérieures auditions par les délégations d'autres pays), quand il devra monter dans l'avion devant le reconduire dans son pays d'origine, étant notamment observé qu'à teneur du dossier, il ne dispose pas de moyens de subsistance et n'a ni lieu de séjour ni attache en Suisse. Enfin, il ne saurait être remis sans autre en liberté pour quitter la Suisse en choisissant lui-même son</w:t>
      </w:r>
    </w:p>
    <w:p>
      <w:r>
        <w:t>- 7/9 - A/1806/2024 lieu de destination, soit par exemple le Portugal comme il l’a indiqué. Chargée de procéder à l'exécution de son refoulement par l'OCPM, la police devra pouvoir s'assurer de l'effectivité de celui-ci (cf. not. art. 15f OERE).</w:t>
      </w:r>
    </w:p>
    <w:p>
      <w:r>
        <w:rPr>
          <w:b/>
        </w:rPr>
        <w:t>E. 11</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Il résulte du dossier en mains du tribunal que la nationalité de M. A______ n’a pas encore pu être déterminée. M. A______ se prétend originaire du Sierra Leone tout en indiquant qu'il n'a aucune nationalité. Il sera relevé à ce sujet que s'il n'a pas été reconnu par cet État ni par la Guinée, il ne saurait à ce stade être considéré comme apatride. Au contraire, s'il collaborait à l'établissement de sa nationalité, il est fort probable que son pays d'origine le reconnaitrait comme l'un de ses ressortissants. De leur côté, les autorités ont entrepris toutes les démarches utiles en vue de l'identification de l'intéressé puisque d'une part, M. A______, devrait pouvoir être présenté à une délégation des autorités de Sierra Leone entre le 17 et le 18 juin 2024, afin de permettre son identification. Elles envisagent par ailleurs de le présenter aux autorités maliennes et une nouvelle fois aux autorités guinéennes, espérant que M. A______ réponde aux questions qui lui seront posées afin de permettre son identification. Le principe de célérité est dès lors respecté.</w:t>
      </w:r>
    </w:p>
    <w:p>
      <w:r>
        <w:rPr>
          <w:b/>
        </w:rPr>
        <w:t>E. 13</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États Schengen prend du retard (art. 79 al. 2 let. b LEI).</w:t>
      </w:r>
    </w:p>
    <w:p>
      <w:r>
        <w:rPr>
          <w:b/>
        </w:rPr>
        <w:t>E. 14</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15</w:t>
      </w:r>
    </w:p>
    <w:p>
      <w:r>
        <w:t>Prononcée pour une durée de deux mois, l'ordre de détention administrative n'apparaît pas critiquable quant à sa durée, qui est proportionnée à l'intérêt public à ce que le renvoi de l'intéressé puisse être exécuté.</w:t>
      </w:r>
    </w:p>
    <w:p>
      <w:r>
        <w:rPr>
          <w:b/>
        </w:rPr>
        <w:t>E. 16</w:t>
      </w:r>
    </w:p>
    <w:p>
      <w:r>
        <w:t>Pour le surplus, rien n'indique que l'exécution du refoulement de M. A______, qui s'impose en application de décisions entrées en force manifestement non arbitraires et non nulles (cf. not. ATF 129 I 139 consid. 4.3.2 ; 125 II 217 consid. 2 ; arrêts du Tribunal fédéral 2C_47/2017 du 9 février 2017 consid. 5.2 ; 2C_1178/2016 du 3</w:t>
      </w:r>
    </w:p>
    <w:p>
      <w:r>
        <w:t>- 8/9 - A/1806/2024 janvier 2017 consid. 4.2 ; 2C_105/2016 du 8 mars 2016 consid. 7), pourrait s'avérer impossible pour des raisons juridiques ou matérielles (cf. art. 80 al. 6 let. a LEI). Il résulte de la jurisprudence que, dans les situations où l'exécution du renvoi ou de l'expulsion suppose la collaboration de l'intéressé, le fait que celui-ci déclare par avance qu'il n'entendra pas rentrer dans son pays ni monter dans l'avion ne suffit pas à considérer d'emblée cette possibilité comme exclue. Ainsi, en présence d'un projet concret de renvoi ou d'expulsion organisé par les autorités et qui a été mis en place à la suite de diverses démarches (discussion avec l'ambassade du pays concerné, obtention d'un laissez-passer, préparation et réservation d'un vol), le juge de la détention ne peut en anticiper l'issue et libérer l'intéressé avant le vol au motif que l'exécution de la mesure est impossible au sens de l'art. 80 al. 6 let. a LEI (arrêt du Tribunal fédéral 2C_700/2015 du 8 décembre 2015 consid. 4.3.3).</w:t>
      </w:r>
    </w:p>
    <w:p>
      <w:r>
        <w:rPr>
          <w:b/>
        </w:rPr>
        <w:t>E. 17</w:t>
      </w:r>
    </w:p>
    <w:p>
      <w:r>
        <w:t>Dans ces circonstances, l'opposition répétée de l'intéressé à être renvoyé en Sierra Leone ne saurait entraîner sa mise en liberté.</w:t>
      </w:r>
    </w:p>
    <w:p>
      <w:r>
        <w:rPr>
          <w:b/>
        </w:rPr>
        <w:t>E. 18</w:t>
      </w:r>
    </w:p>
    <w:p>
      <w:r>
        <w:t>Au vu de ce qui précède, il y a lieu de confirmer l'ordre de mise en détention administrative de M. A______ pour une durée de deux mois.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A/1806/2024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