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JTAPI/531/2023 vom 11. Mai 2023</w:t>
      </w:r>
    </w:p>
    <w:p>
      <w:r>
        <w:t>GE Cour de justice, 2023-05-11, FR</w:t>
      </w:r>
    </w:p>
    <w:p>
      <w:r>
        <w:rPr>
          <w:b/>
        </w:rPr>
        <w:t xml:space="preserve">Quelle: </w:t>
      </w:r>
      <w:r>
        <w:t>https://mcp.opencaselaw.ch/entscheid/ge_gerichte_JTAPI_531_2023</w:t>
      </w:r>
    </w:p>
    <w:p>
      <w:r>
        <w:t>FR: GE_GERICHTE JTAPI/531/2023 du 11 mai 2023</w:t>
      </w:r>
    </w:p>
    <w:p>
      <w:r>
        <w:t>IT: GE_GERICHTE JTAPI/531/2023 del 11 maggio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préalable, la recourante sollicite sa comparution personnelle, ainsi que l'audition de M. D______ et de ses employés, Madame G______ et Monsieur H______, afin de témoigner en particulier du fait que la recourante était chargée de la direction architecturale du projet et que F______ SA était chargée de la direction des travaux.</w:t>
      </w:r>
    </w:p>
    <w:p>
      <w:r>
        <w:t>- 6/12 - A/3245/2022</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Le droit de faire administrer des preuves n’empêche pas le juge de renoncer à l’administration de certaines preuves offertes, de procéder à une appréciation anticipée de ces dernières ou de mettre un terme à l’instruction, lorsque les preuves administrées lui ont permis de former sa conviction et que, procédant d’une manière non arbitraire à une appréciation anticipée des preuves qui lui sont encore proposées, il a la certitude qu’elles ne pourraient l’amener à modifier son opinion ou si le fait à établir résulte déjà des constatations ressortant du dossier (ATF 145 I 167 consid. 4.1 ; 140 I 285 consid. 6.3.1 ; arrêts du Tribunal fédéral 2C_725/2019 du 12 septembre 2019 consid. 4.1 ; 2C_1125/2018 du 7 janvier 2019 consid. 5.1).</w:t>
      </w:r>
    </w:p>
    <w:p>
      <w:r>
        <w:rPr>
          <w:b/>
        </w:rPr>
        <w:t>E. 6</w:t>
      </w:r>
    </w:p>
    <w:p>
      <w:r>
        <w:t>Toutefois, ce droit ne confère pas le droit d’être entendu oralement, ni celui d’obtenir l’audition de témoins (ATF 140 I 68 consid. 9.6.1 ; arrêt du Tribunal fédéral 8C_381/2021 du 17 décembre 2021 consid. 3.2 ; cf. aussi art. 41 in fine LPA).</w:t>
      </w:r>
    </w:p>
    <w:p>
      <w:r>
        <w:rPr>
          <w:b/>
        </w:rPr>
        <w:t>E. 7</w:t>
      </w:r>
    </w:p>
    <w:p>
      <w:r>
        <w:t>En l'espèce, la recourante a eu l’occasion de s’exprimer par écrit à plusieurs reprises durant la présente procédure et celle devant le département, d’exposer son point de vue et de produire toutes les pièces qu’elle estimait utiles à l’appui de ses allégués, sans qu'elle n'explique quels éléments la procédure écrite l’aurait empêchée d'exprimer de manière pertinente et complète. L’autorité intimée a également répondu à son recours, se prononçant sur les griefs qu’elle estimait pertinents pour l’issue du litige et la recourante s'est vue octroyer la possibilité de répliquer, ce qu'elle a fait. Le dossier comporte en outre tous les éléments pertinents et nécessaires à l’examen des griefs et arguments mis en avant par les parties, permettant ainsi au tribunal de se forger une opinion et de trancher le litige. S'agissant des explications qui découleraient de l'audition des personnes concernées, elles ne reflètent quoi qu'il en soit qu'une appréciation – au demeurant erronée – sur le rôle et la responsabilité que la recourante avait par rapport au chantier. Il n’y a dès lors pas lieu de procéder à la comparution personnelle de la recourante et aux auditions qu'elle sollicite.</w:t>
      </w:r>
    </w:p>
    <w:p>
      <w:r>
        <w:rPr>
          <w:b/>
        </w:rPr>
        <w:t>E. 8</w:t>
      </w:r>
    </w:p>
    <w:p>
      <w:r>
        <w:t>La recourante ne conteste ni les faits constatés lors de la visite effectuée le 31 mars 2022 par l'inspection des chantiers et relatés dans le rapport du 11 avril 2022, ni que ces faits constituent des infractions aux art. 1 et ss du RChant, en</w:t>
      </w:r>
    </w:p>
    <w:p>
      <w:r>
        <w:t>- 7/12 - A/3245/2022 particulier ses 55 al. 1 let. a, 92 et 112, ainsi qu'aux art. 41 al. 1 et 2 let. e, 46 al. 2 et 59 OTConst.</w:t>
      </w:r>
    </w:p>
    <w:p>
      <w:r>
        <w:rPr>
          <w:b/>
        </w:rPr>
        <w:t>E. 9</w:t>
      </w:r>
    </w:p>
    <w:p>
      <w:r>
        <w:t>En revanche, elle conteste sa responsabilité. Elle fait en particulier valoir que son mandat ne s'étendait pas à l'exécution des travaux ni à la surveillance du chantier, la responsabilité des infractions reprochées incombant exclusivement à F______ SA et E______ SA. Elle considère en outre qu'en ayant instruit les entreprises quant à leurs devoirs de respecter les règlements en vigueur en matière de sécurité sur les chantiers, puis en ayant immédiatement réagi, dès le signalement des irrégularités, en interpellant les entreprises compétentes pour mettre en œuvre les mesures de sécurité requises, elle avait respecté toutes ses obligations et n'avait commis aucune faute. Enfin, elle conteste le montant de l'amende de CHF 1'000.- infligée à son encontre.</w:t>
      </w:r>
    </w:p>
    <w:p>
      <w:r>
        <w:rPr>
          <w:b/>
        </w:rPr>
        <w:t>E. 10</w:t>
      </w:r>
    </w:p>
    <w:p>
      <w:r>
        <w:t>Il convient dans un premier temps d'examiner, si, comme le soutient la recourante, l'amende litigieuse ne serait pas justifiée dans son principe.</w:t>
      </w:r>
    </w:p>
    <w:p>
      <w:r>
        <w:rPr>
          <w:b/>
        </w:rPr>
        <w:t>E. 11</w:t>
      </w:r>
    </w:p>
    <w:p>
      <w:r>
        <w:t>De façon générale, la police des constructions institue un système d'autorisation dans lequel les architectes mandataires jouent un rôle central. Ainsi prévoit-elle que toute demande d'autorisation doit être établie et signée par une personne inscrite au tableau des MPQ (art. 2 al. 3 LCI). 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 mandataire commis à la direction des travaux en répond à l’égard de l’autorité jusqu’à réception de l’avis d’extinction de son mandat (al. 2).</w:t>
      </w:r>
    </w:p>
    <w:p>
      <w:r>
        <w:rPr>
          <w:b/>
        </w:rPr>
        <w:t>E. 12</w:t>
      </w:r>
    </w:p>
    <w:p>
      <w:r>
        <w:t>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w:t>
      </w:r>
    </w:p>
    <w:p>
      <w:r>
        <w:rPr>
          <w:b/>
        </w:rPr>
        <w:t>E. 13</w:t>
      </w:r>
    </w:p>
    <w:p>
      <w:r>
        <w:t>La prévention des accidents sur les chantiers et les mesures à prendre pour assurer la sécurité des travailleurs, du public, des ouvrages et de leurs abords sont réglées par les dispositions du RChant (art. 1 al. 1 RChant).</w:t>
      </w:r>
    </w:p>
    <w:p>
      <w:r>
        <w:rPr>
          <w:b/>
        </w:rPr>
        <w:t>E. 14</w:t>
      </w:r>
    </w:p>
    <w:p>
      <w:r>
        <w:t>En tant qu'elles ne sont pas déjà incorporées dans son texte, les ordonnances du Conseil fédéral sur la prévention des accidents, au nombre desquelles figure notamment l'OTConst (cf. art. 1 OTConst), en font partie intégrante (art. 2 al. 1 RChant).</w:t>
      </w:r>
    </w:p>
    <w:p>
      <w:r>
        <w:rPr>
          <w:b/>
        </w:rPr>
        <w:t>E. 15</w:t>
      </w:r>
    </w:p>
    <w:p>
      <w:r>
        <w:t>Tous les participants à l'acte de construire, démolir, transformer, entretenir, c'est- à-dire toutes les personnes exécutant des travaux se rapportant à l'activité du</w:t>
      </w:r>
    </w:p>
    <w:p>
      <w:r>
        <w:t>- 8/12 - A/3245/2022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16</w:t>
      </w:r>
    </w:p>
    <w:p>
      <w:r>
        <w:t>Le travail doit s'exécuter en prenant, en plus des mesures ordonnées par le règlement, toutes les précautions commandées par les circonstances et par les usages de la profession (art. 3 al. 1 RChant).</w:t>
      </w:r>
    </w:p>
    <w:p>
      <w:r>
        <w:rPr>
          <w:b/>
        </w:rPr>
        <w:t>E. 17</w:t>
      </w:r>
    </w:p>
    <w:p>
      <w:r>
        <w:t>De façon générale, sur un chantier, les installations et autres aménagements doivent être étudiés de manière à permettre l’application de toutes les mesures de sécurité et de protection de la santé (art. 7 al. 1 RChant). Les contrôles de l'administration ne libèrent pas les intéressés de leurs obligations et de leur responsabilité (art. 331 RChant).</w:t>
      </w:r>
    </w:p>
    <w:p>
      <w:r>
        <w:rPr>
          <w:b/>
        </w:rPr>
        <w:t>E. 18</w:t>
      </w:r>
    </w:p>
    <w:p>
      <w:r>
        <w:t>La chambre administrative et le tribunal accordent généralement une valeur probante aux constatations figurant dans un rapport de police, établi par des agents assermentés (ATA/1411/2017 du 17 octobre 2017 ; ATA/73/2017 du 31 janvier 2017 ; ATA/902/2016 du 25 octobre 2016 ; ATA/99/2014 du 18 février 2014), sauf si des éléments permettent de s’en écarter. Le même raisonnement peut être appliqué aux rapports établis par les agents du DT, qui sont des fonctionnaires ayant mandat de veiller à l’application de la loi dans l’exercice de leurs activités (cf. ATA/1411/2017 du 17 octobre 2017 ; ATA/573/2017 du 23 mai 2017).</w:t>
      </w:r>
    </w:p>
    <w:p>
      <w:r>
        <w:rPr>
          <w:b/>
        </w:rPr>
        <w:t>E. 19</w:t>
      </w:r>
    </w:p>
    <w:p>
      <w:r>
        <w:t>Selon l'art. 333 RChant, tout contrevenant aux dispositions du RChant est passible des peines prévues par la LCI (voir aussi ATA/611/2004 du 5 août 2004, consid. 12 ; ATA/640/1999 du 2 novembre 1999, consid. 4a). Est passible d'une amende administrative de CHF 100.- à CHF 150'000.- tout contrevenant aux règlements et arrêtés édictés conformément à l'art. 151 LCI, respectivement aux ordres donnés par le département dans les limites de la présente loi et des règlements et arrêtés édictés en vertu de celle-ci (art. 137 al. 1 let. b et c LCI et art. 334 RChant). Il est tenu compte, dans la fixation du montant de l'amende, du degré de gravité de l'infraction.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w:t>
      </w:r>
    </w:p>
    <w:p>
      <w:r>
        <w:t>- 9/12 - A/3245/2022 individuelle répondant solidairement des amendes. Les sanctions sont applicables directement aux sociétés ou entreprises précitées lorsqu'il n'apparaît pas de prime abord quelles sont les personnes responsables (art. 137 al. 4 LCI).</w:t>
      </w:r>
    </w:p>
    <w:p>
      <w:r>
        <w:rPr>
          <w:b/>
        </w:rPr>
        <w:t>E. 20</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 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ATA/206/2020 précité, consid. 4c ; ATA/13/2020 précité, consid. 7c et les références citées).</w:t>
      </w:r>
    </w:p>
    <w:p>
      <w:r>
        <w:rPr>
          <w:b/>
        </w:rPr>
        <w:t>E. 21</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w:t>
      </w:r>
    </w:p>
    <w:p>
      <w:r>
        <w:rPr>
          <w:b/>
        </w:rPr>
        <w:t>E. 22</w:t>
      </w:r>
    </w:p>
    <w:p>
      <w:r>
        <w:t>En l'espèce, la recourante fait valoir qu'elle n'était chargée ni de la direction des travaux ni de l'exécution du chantier, ces tâches ayant été confiées à une entreprise générale. Elle ne saurait être suivie. En effet, dans le cadre des travaux de construction autorisés, la recourante a agi en qualité de MPQ aux yeux du département, ce qu'elle reconnaît et qui ressort d'ailleurs également de l'avis d'ouverture de chantier. Il sera rappelé qu'en cette qualité, la recourante était chargée de la surveillance des travaux y relatifs, de sorte qu'elle ne peut se défausser de sa propre responsabilité sur ceux qu'elle choisit pour accomplir des tâches soumises</w:t>
      </w:r>
    </w:p>
    <w:p>
      <w:r>
        <w:t>- 10/12 - A/3245/2022 à cette responsabilité. Elle répond donc envers les autorités des manquements dans la direction de la réalisation des travaux et des violations des dispositions rappelées ci-dessus. Le fait d'avoir averti ses interlocuteurs, à savoir F______ SA et E______ SA, des irrégularités constatées n'est d'aucun secours pour la recourante, laquelle, active à Genève depuis de nombreuses années, et donc particulièrement aguerrie à la législation en matière de constructions, savait que les mesures de sécurité et de protection de la santé devaient être respectées afin de prévenir des accidents sur les chantiers Si l'on peut imaginer des situations limite où le MPQ exerce avec diligence ses responsabilités et ne parvient pourtant pas à faire exécuter ses ordres, de telle sorte que sa faute peut être remise en cause, la présente affaire ne peut être assimilée à une telle situation, puisque la recourante a eu connaissance des manquements plusieurs semaines avant son interpellation par l'autorité intimée, ce qui aurait dû l'amener à ordonner la fermeture du chantier. Elle est restée responsable du non-respect de ses instructions à partir du moment où elle a laissé cet état de fait perdurer, la sécurité des ouvriers étant concrètement menacée pendant ce temps. Ainsi, le comportement, à tout le moins passif, qu'elle a adopté à cet égard apparaît clairement fautif. Dans ces conditions, le principe de l'amende est fondé.</w:t>
      </w:r>
    </w:p>
    <w:p>
      <w:r>
        <w:rPr>
          <w:b/>
        </w:rPr>
        <w:t>E. 23</w:t>
      </w:r>
    </w:p>
    <w:p>
      <w:r>
        <w:t>Reste à examiner si sa quotité respecte le principe de proportionnalité.</w:t>
      </w:r>
    </w:p>
    <w:p>
      <w:r>
        <w:rPr>
          <w:b/>
        </w:rPr>
        <w:t>E. 24</w:t>
      </w:r>
    </w:p>
    <w:p>
      <w:r>
        <w:t>L’amende doit respecter le principe de la proportionnalité garanti par l'art. 5 al. 2 Cst.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 L’amende doit faire l’objet d’une évaluation globale, dans laquelle l’autorité administrative qui sanctionne - partant le juge qui contrôle sa décision - doit prendre en compte, dans un calcul d’ensemble, la nature, la gravité et la fréquence des infractions (ATA/978/2015 du 22 septembre 2015 ; ATA/886/2014 du 11 novembre 2014 ; ATA/558/2013 du 27 août 2013), ainsi que les éléments liés à la culpabilité et les circonstances personnelles de l’auteur, dont ses capacités financières (ATA/719/2012 du 30 octobre 2012 ; Günter STRATENWERTH, Schweizerisches Strafrecht - Allgemeiner Teil II : Strafen und Massnahmen, 2ème éd., 2006, p. 75 § 75 ; Sandro CHIMICHELLA, Die Geldstrafe in Schweizer Strafrecht, 2006, p. 39).</w:t>
      </w:r>
    </w:p>
    <w:p>
      <w:r>
        <w:rPr>
          <w:b/>
        </w:rPr>
        <w:t>E. 25</w:t>
      </w:r>
    </w:p>
    <w:p>
      <w:r>
        <w:t>À titre exemplatif, la chambre administrative a confirmé une amende de CHF 5'000.- infligée à deux MPQ pour des travaux effectués en hauteur par des ouvriers avec des garde-corps manquants, en mauvais état ou incomplets et un</w:t>
      </w:r>
    </w:p>
    <w:p>
      <w:r>
        <w:t>- 11/12 - A/3245/2022 risque de chute supérieur à 2 m, ainsi que pour avoir terminé le chantier dans l’irrespect de l’ordre d’arrêt de chantier (ATA/440/2019 du 16 avril 2019). Elle a également confirmé une amende de CHF 6'000.- envers un MPQ présentant déjà cinq antécédents qui avait laissé travailler des ouvriers sur un échafaudage non conforme, présentant un vide supérieur à 30 cm et une hauteur de chute supérieure à 2 m (ATA/559/2021 du 25 mai 2021).</w:t>
      </w:r>
    </w:p>
    <w:p>
      <w:r>
        <w:rPr>
          <w:b/>
        </w:rPr>
        <w:t>E. 26</w:t>
      </w:r>
    </w:p>
    <w:p>
      <w:r>
        <w:t>En l'espèce, les manquements reprochés à la recourante se rapportent à des règles essentielles visant à assurer la sécurité d'un chantier aux fins de prévenir des risques d'accidents potentiellement très graves pour les ouvriers y travaillant, ainsi que pour le public. À teneur des éléments au dossier, la recourante est active depuis de nombreuses années dans le domaine du bâtiment, étant inscrite au registre du commerce depuis 2008. Il ressort par ailleurs des explications du DT que celui-ci a tenu compte la responsabilité secondaire de la recourante. Enfin, cette dernière ne fait pas état de difficultés pécuniaires particulières l'empêchant de s’acquitter d’un tel montant, au demeurant modeste par rapport à la fourchette fixée par l’art. 137 al. 1 LCI. Au vu de l’ensemble des circonstances, le tribunal retiendra qu’en fixant le montant de l'amende à CHF 1'000.-, le département a fait une application mesurée du principe de la proportionnalité.</w:t>
      </w:r>
    </w:p>
    <w:p>
      <w:r>
        <w:rPr>
          <w:b/>
        </w:rPr>
        <w:t>E. 27</w:t>
      </w:r>
    </w:p>
    <w:p>
      <w:r>
        <w:t>En tous points mal fondé, le recours sera rejeté.</w:t>
      </w:r>
    </w:p>
    <w:p>
      <w:r>
        <w:rPr>
          <w:b/>
        </w:rPr>
        <w:t>E. 28</w:t>
      </w:r>
    </w:p>
    <w:p>
      <w:r>
        <w:t>En application des art. 87 al. 1 LPA et 1 et 2 du règlement sur les frais, émoluments et indemnités en procédure administrative du 30 juillet 1986 (RFPA - E 5 10.03), la recourante est condamnée au paiement d’un émolument s'élevant à CHF 500.- ; il est couvert par l’avance de frais versée à la suite du dépôt du recours. Vu l’issue du litige, aucune indemnité de procédure ne sera allouée (art. 87 al. 2 LPA).</w:t>
      </w:r>
    </w:p>
    <w:p>
      <w:r>
        <w:t>- 12/12 - A/3245/2022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