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JTAPI/528/2023 vom 10. Mai 2023</w:t>
      </w:r>
    </w:p>
    <w:p>
      <w:r>
        <w:t>GE Cour de justice, 2023-05-10, FR</w:t>
      </w:r>
    </w:p>
    <w:p>
      <w:r>
        <w:rPr>
          <w:b/>
        </w:rPr>
        <w:t xml:space="preserve">Quelle: </w:t>
      </w:r>
      <w:r>
        <w:t>https://mcp.opencaselaw.ch/entscheid/ge_gerichte_JTAPI_528_2023</w:t>
      </w:r>
    </w:p>
    <w:p>
      <w:r>
        <w:t>FR: GE_GERICHTE JTAPI/528/2023 du 10 mai 2023</w:t>
      </w:r>
    </w:p>
    <w:p>
      <w:r>
        <w:t>IT: GE_GERICHTE JTAPI/528/2023 del 10 maggio 2023</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28 avril 2023,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CEDH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ATA/752/2012 du 1er novembre 2012 consid. 7). Il convient dès lors d'examiner, en fonction des circonstances concrètes, si la détention en vue d'assurer l'exécution d'un renvoi au sens de l'art. 5 par. 1 let. f CEDH est adaptée et nécessaire (ATF 135 II 105 consid. 2.2.1 ; 134 I</w:t>
      </w:r>
    </w:p>
    <w:p>
      <w:r>
        <w:t>- 8/12 - A/1441/2023 92 consid. 2.3.1 ; arrêts du Tribunal fédéral 2C_26/2013 du 29 janvier 2013 consid. 3.1 ; 2C_420/2011 du 9 juin 2011 consid. 4.1).</w:t>
      </w:r>
    </w:p>
    <w:p>
      <w:r>
        <w:rPr>
          <w:b/>
        </w:rPr>
        <w:t>E. 7</w:t>
      </w:r>
    </w:p>
    <w:p>
      <w:r>
        <w:t>Le conseil de l’intéressé estime que la production du rapport médical et du laissez-passer devait être déclarée irrecevable car ces deux pièces étaient rédigées en langue étrangère et non traduites. Concernant le certificat médical, rédigé en anglais, il apparait que son contenu n’est pas contesté. Par ailleurs, vu les délais relativement courts imposés par la loi pour que le tribual statue, il apparait qu’une pièce en anglais, langue très généralement parlée, notamment par des avocats, doit pouvoir être produite sans traduction, surtout quand son contenu est succinct et peu technique comme c’est le cas en l’espèce, étant souligné que dans le cadre du recours déposé par le même conseil devant la chambre administrative une pièce rédigée en anglais, sans traduction avait été produite. Concernant le laissez-passer dont certaines indications sont rédigées en arabe, le tribunal constate, d’une part, que le conseil de l’intéressé en a fait oralement, lors de sa plaidoirie une traduction libre, laquelle a été également été faite par l’OCPM suite à une demande du tribunal et que, d’autre part, ledit conseil s’est basé précisément sur cette pièce pour une longue partie de sa plaidoirie. Dès lors, il en a entièrement compris le sens et l’intéressé, qui parle également cette langue, aura également pu en comprendre le contenu. Dès lors, le tribunal estime que ces pièces n’ont pas à être écartées de la procédure.</w:t>
      </w:r>
    </w:p>
    <w:p>
      <w:r>
        <w:rPr>
          <w:b/>
        </w:rPr>
        <w:t>E. 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rPr>
          <w:b/>
        </w:rPr>
        <w:t>E. 10</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w:t>
      </w:r>
    </w:p>
    <w:p>
      <w:r>
        <w:t>- 9/12 - A/1441/2023 juridiques ou matérielles ou qu'elle ne peut être raisonnablement exigée, cette dernière disposition légale renvoyant à l'art. 83 al. 1 à 4 LEI.</w:t>
      </w:r>
    </w:p>
    <w:p>
      <w:r>
        <w:rPr>
          <w:b/>
        </w:rPr>
        <w:t>E. 11</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 Conformément à la jurisprudence, les raisons susceptibles de conduire à la levée de la détention administrative en application de la disposition précitée doivent être importantes (« triftige Gründe »). L'exécution du renvoi doit être qualifiée d'impossible lorsque le rapatriement est pratiquement exclu, même si l'identité et la nationalité de l'étranger sont connues et que les papiers voulus peuvent être obtenus (arrêts du Tribunal fédéral 2C_47/2017 du 9 février 2017 consid. 5.2 ; 2C_1178/2016 du 3 janvier 2017 consid. 4.2 ; 2C_105/2016 du 8 mars 2016 consid. 6.1 ; 2C_1072/2015 du 21 décembre 2015 consid. 3.2). Cela étant,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 2C_285/2013 du 23 avril 2013 consid. 6.1 ; 2C_256/2013 du 10 avril 2013 consid. 4.5).</w:t>
      </w:r>
    </w:p>
    <w:p>
      <w:r>
        <w:rPr>
          <w:b/>
        </w:rPr>
        <w:t>E. 12</w:t>
      </w:r>
    </w:p>
    <w:p>
      <w:r>
        <w:t>En l’espèce, la légalité de la détention a déjà été examinée et admise par le tribunal dans son jugement du ______ 2023 (JTAPI/1______/2023), confirmé par la chambre administrative (ATA/1______/2023 du ______ 2023), sans qu'un changement quelconque des circonstances pertinentes ne soit intervenu depuis. Il sera rappelé que le risque de soustraction au renvoi s’est encore accentué par le fait que l’intéressé a refusé de monter à bord du vol du 3 mai dernier sur lequel</w:t>
      </w:r>
    </w:p>
    <w:p>
      <w:r>
        <w:t>- 10/12 - A/1441/2023 une place lui avait été réservée, et qu’il a lors de l’audience du 9 mai 2023 réaffirmé sa totale opposition à son renvoi. Le recours actuellement pendant devant le Tribunal fédéral n’y change rien, étant souligné que la requête en libération immédiate et d’effet suspensif ont été rejetés par ordonnance du ______ 2023. Par conséquent, sur ce point, il suffit de renvoyer aux motifs du jugement et de l’arrêt précités. L'assurance de son départ effectif répond toujours à un intérêt public certain et s'inscrit dans le cadre des obligations internationales de la Suisse, étant rappelé que les autorités suisses doivent s'assurer du fait qu'il quittera effectivement le territoire à destination de son pays d'origine (cf. not. art. 8 par. 6 de la Directive sur le retour et 15f de l'ordonnance sur l'exécution du renvoi et de l'expulsion d'étrangers du 11 août 1999 - OERE - RS 142.281). Comme cela a déjà été analysé et jugé, et sans modification des circonstances depuis, aucune autre mesure moins incisive ne peut, compte tenu des circonstances, être envisagée pour garantir sa présence jusqu'à l'exécution de son refoulement, ce d’autant plus que l’intéressé s’est encore opposé à son renvoi le 3 mai dernier et a encore réaffirmé à l’audience devant le tribunal du 9 mai 2023 qu’il était totalement opposé à son renvoi. La détention en cause n'est par conséquent toujours pas contraire au principe de la proportionnalité. Il y a en outre lieu de retenir que le principe de diligence est toujours respecté. Les autorités ont déjà obtenu à plusieurs reprises une place sur un vol à destination du Liban, lesquelles ont toutefois dû être annulées en raison de la détention pénale toujours en cours en ce qui concerne le vol du 30 janvier 2023, en raison de l’absence d’informations médicales pour le vol du 13 mars 2023 et du fait de l’opposition de l’intéressé à prendre place à bord de l’avion pour le vol du 3 mai 2023. Les autorités ont donc dû entreprendre de nouvelles démarches qui ont conduit à l’obtention d’une place sur un vol avec escorte policière, lequel pourra avoir lieu le 24 mai 2023. Elles sont par ailleurs en possession d’un laissez-passer valable jusqu’au 24 mai 2023. Par ailleurs, M. A______ est détenu administrativement depuis le 16 février 2023, de sorte que la durée de la détention administrative admissible en vertu de l'art. 79 al. 2 let. a LEI n'est pas encore atteinte. Elle ne le sera pas non plus à l'issue de la prolongation de trois mois sollicitée par l'OCPM. Cette durée permettra aux autorités, en cas de refus de la part de M. A______ de prendre place à bord du vol du 24 mai 2023, d’entreprendre les démarches nécessaires en vue de l’organisation d’un vol spécial.</w:t>
      </w:r>
    </w:p>
    <w:p>
      <w:r>
        <w:rPr>
          <w:b/>
        </w:rPr>
        <w:t>E. 13</w:t>
      </w:r>
    </w:p>
    <w:p>
      <w:r>
        <w:t>Se pose encore la question de savoir si l'exécution de son renvoi s’avère impossible, illicite ou non raisonnablement exigible, comme le soutien l’intéressé. Les deux attestations produites par le recourant à l’audience du 9 mai 2023 concernant sa situation en cas de retour au Liban sont identiques à celles produites</w:t>
      </w:r>
    </w:p>
    <w:p>
      <w:r>
        <w:t>- 11/12 - A/1441/2023 dans le cadre de la procédure relative au contrôle de la légalité et de l’adéquation de l’ordre de mise en détention administrative. Sur la base de ces pièces, ni le tribunal ni la chambre administrative ont estimé que le renvoi s’avèrerait impossible, illicite ou non raisonnablement exigible sur cette base. En ce qui concerne le contenu du laissez-passer, rien ne permet de retenir que l’indication « Ce laissez-passer est établi dans le but du renvoi de son détenteur au Liban d’après l’autorisation de la direction générale de la Sûreté générale no M 7 W / 4A / 15233 datée du 20.03.2023 et basée sur l’ordonnance no 6 /2937 du 06.07.200 » rendrait le renvoi non raisonnablement exigible ou illicite car préfigurant que l’intéressé s’exposerait à des dangers en cas de retour au Liban.</w:t>
      </w:r>
    </w:p>
    <w:p>
      <w:r>
        <w:rPr>
          <w:b/>
        </w:rPr>
        <w:t>E. 14</w:t>
      </w:r>
    </w:p>
    <w:p>
      <w:r>
        <w:t>Au vu de ce qui précède, la demande de prolongation de la détention administrative de M. A______ sera admise pour une durée de trois mois, soit jusqu'au 15 août 2023, inclus.</w:t>
      </w:r>
    </w:p>
    <w:p>
      <w:r>
        <w:rPr>
          <w:b/>
        </w:rPr>
        <w:t>E. 15</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A/1441/2023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