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JTAPI/526/2024 vom 30. Mai 2024</w:t>
      </w:r>
    </w:p>
    <w:p>
      <w:r>
        <w:t>GE Cour de justice, 2024-05-30, FR</w:t>
      </w:r>
    </w:p>
    <w:p>
      <w:r>
        <w:rPr>
          <w:b/>
        </w:rPr>
        <w:t xml:space="preserve">Quelle: </w:t>
      </w:r>
      <w:r>
        <w:t>https://mcp.opencaselaw.ch/entscheid/ge_gerichte_JTAPI_526_2024</w:t>
      </w:r>
    </w:p>
    <w:p>
      <w:r>
        <w:t>FR: GE_GERICHTE JTAPI/526/2024 du 30 mai 2024</w:t>
      </w:r>
    </w:p>
    <w:p>
      <w:r>
        <w:t>IT: GE_GERICHTE JTAPI/526/2024 del 30 maggio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Dans un premier grief, la recourante se prévaut d’une violation de son droit d’être entendue, sous l’angle du défaut de motivation de la décision attaquée.</w:t>
      </w:r>
    </w:p>
    <w:p>
      <w:r>
        <w:rPr>
          <w:b/>
        </w:rPr>
        <w:t>E. 6</w:t>
      </w:r>
    </w:p>
    <w:p>
      <w:r>
        <w:t>Le droit d'être entendu (art.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w:t>
      </w:r>
    </w:p>
    <w:p>
      <w:r>
        <w:t>- 9/16 - A/3774/2023 fédéral 5A_825/2012 du 17 avril 2013 consid. 3.1). Ce moyen doit dès lors être examiné en premier lieu (ATF 137 I 195 consid. 2.2).</w:t>
      </w:r>
    </w:p>
    <w:p>
      <w:r>
        <w:t>Il implique notamment, pour l’autorité, l’obligation de motiver sa décision (ATF 143 III 65 consid. 5.2 ; arrêt du Tribunal fédéral 1C_478/2017 du 8 mai 2018 consid. 2.1). L’art. 46 al. 1 LPA fait de plus obligation aux autorités administratives de rendre des décisions motivées.</w:t>
      </w:r>
    </w:p>
    <w:p>
      <w:r>
        <w:rPr>
          <w:b/>
        </w:rPr>
        <w:t>E. 7</w:t>
      </w:r>
    </w:p>
    <w:p>
      <w:r>
        <w:t>Selon une jurisprudence constante, l’obligation de motiver n’impose pas à l’autorité d’exposer et de discuter tous les faits, moyens de preuves et griefs invoqués par les parties (ATF 141 V 557 consid. 3.2.1 ; arrêt du Tribunal fédéral 1C_298/2017 du 30 avril 2018 consid. 2.1). Il suffit, au regard de ce droit, qu’elle mentionne, au moins brièvement, les motifs qui l’ont guidée et sur lesquels elle a fondé sa décision, de manière à ce que les intéressés puissent se rendre compte de la portée de celle- ci et la déférer à l’instance supérieure en connaissance de cause (ATF 143 III 65 consid. 5.2).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 du Tribunal fédéral 1C_415/2019 du 27 mars 2020 consid. 2.1). Il n’y a ainsi violation du droit d’être entendu que si l’autorité ne satisfait pas à son devoir minimum d’examiner les problèmes pertinents (ATF 134 I 83 consid. 4.1 ; arrêt du Tribunal fédéral 2C_56/2015 du 13 mai 2015 consid. 2.1). Il ressort toutefois de la jurisprudence du Tribunal fédéral que la violation du droit d’être entendu peut être réparée dans le cadre de la procédure de recours lorsque l’autorité de recours exerce le même pouvoir d’examen que l’autorité de décision (ATF 129 II 129 c. 2.2.3 p. 135, JdT 2005 IV 300; ATF 126 I 68 c. 2 p. 72, RDAF 2001 I 586; ATF 124 II 132 c. 2d p. 138). La réparation du vice doit toutefois demeurer exceptionnelle, en particulier lorsqu’il s’agit d’une violation grave, surtout parce que l’exercice différé du droit d’être entendu ne constitue le plus souvent qu’un succédané imparfait de l’audition préalable qui a été omise (ATF 116 V 182 c. 3c p. 187; ATE 105 la 193 c. 2b/cc p. 197). En outre, elle n’entre en considération que si la personne touchée ne subit aucun préjudice dans l’exercice différé du droit d’être entendu et dans la réparation du vice. Il ne serait en aucun cas admissible que l’autorité parvienne, par le biais d’une violation du droit d’être entendu, à un résultat qu’elle n’aurait jamais obtenu en procédant de manière correcte (ATF 129 I 129 c. 2.2.3 p. 135, JdT 2005 IV 300).</w:t>
      </w:r>
    </w:p>
    <w:p>
      <w:r>
        <w:rPr>
          <w:b/>
        </w:rPr>
        <w:t>E. 8</w:t>
      </w:r>
    </w:p>
    <w:p>
      <w:r>
        <w:t>En l’espèce, la décision litigieuse fait mention des dispositions légales sur lesquelles l'autorité intimée s'est fondée pour se prononcer. Elle indique également sa position, soit qu'il ne lui est pas possible de rendre une décision favorable, la</w:t>
      </w:r>
    </w:p>
    <w:p>
      <w:r>
        <w:t>- 10/16 - A/3774/2023 demande ne servant pas les intérêts économiques de la Suisse et l’ordre de priorité n’ayant pas été respecté. Par conséquent, le tribunal constate que la décision attaquée, qui mentionne les bases légales topiques applicables ainsi que les motifs de refus, est claire. La recourante a ainsi été en mesure de comprendre le sens et la portée de cette décision. Elle a d’ailleurs exposé en détail dans son recours les raisons qui commandaient, à son sens, l'octroi d'une autorisation de séjour avec activité lucrative en sa faveur. Pour le surplus, les échanges auxquels les parties ont pu procéder dans la présente procédure ont permis à chacune d'elles d’exprimer clairement sa position, de sorte qu'une éventuelle violation du droit d'être entendu pour les motifs évoqués plus haut serait en tout état réparée.</w:t>
      </w:r>
    </w:p>
    <w:p>
      <w:r>
        <w:t>Infondé, ce grief d'ordre formel doit donc être écarté.</w:t>
      </w:r>
    </w:p>
    <w:p>
      <w:r>
        <w:rPr>
          <w:b/>
        </w:rPr>
        <w:t>E. 9</w:t>
      </w:r>
    </w:p>
    <w:p>
      <w:r>
        <w:t>Sur le fond, la recourante soutient que, contrairement à ce que retient la décision litigieuse, son engagement auprès de B______ répondrait aux intérêts économiques de la Suisse et respecterait l'ordre de priorité.</w:t>
      </w:r>
    </w:p>
    <w:p>
      <w:r>
        <w:rPr>
          <w:b/>
        </w:rPr>
        <w:t>E. 10</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ce qui est le cas pour les ressortissants brésiliens.</w:t>
      </w:r>
    </w:p>
    <w:p>
      <w:r>
        <w:rPr>
          <w:b/>
        </w:rPr>
        <w:t>E. 11</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12</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13</w:t>
      </w:r>
    </w:p>
    <w:p>
      <w:r>
        <w:t>En raison de sa formulation potestative, l'art. 18 LEI ne confère aucun droit (arrêts du Tribunal fédéral 2C_798/2018 du 17 septembre 2018 consid. 4.1 ; 2D_4/2015 du 23 janvier 2015 consid. 3) et les autorités compétentes bénéficient d'un large pouvoir d'appréciation dans le cadre de son application (arrêts du Tribunal</w:t>
      </w:r>
    </w:p>
    <w:p>
      <w:r>
        <w:t>- 11/16 - A/3774/2023 administratif fédéral C-5184/2014 du 31 mars 2016 consid. 5.1 ; C-5420/2012 du</w:t>
      </w:r>
    </w:p>
    <w:p>
      <w:r>
        <w:rPr>
          <w:b/>
        </w:rPr>
        <w:t>E. 15</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w:t>
      </w:r>
    </w:p>
    <w:p>
      <w:r>
        <w:t>- 12/16 - A/3774/2023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 du Tribunal administratif fédéral C-5184/2014 du 31 mars 2016 consid. 5.3.1).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(ATA/1094/2019 du 25 juin 2019 consid. 5c ; arrêt du Tribunal administratif fédéral F-3286/2017 du 18 décembre 2017 consid. 6.2).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(ATA/1094/2019 du 25 juin 2019 consid. 5c ; ATA/1368/2018 du 18 décembre 2018 consid. 3c).</w:t>
      </w:r>
    </w:p>
    <w:p>
      <w:r>
        <w:t>- 13/16 - A/3774/2023 Il revient à l’employeur de démontrer avoir entrepris des recherches sur une grande échelle afin de repourvoir le poste en question par un travailleur indigène ou ressortissant d’un État membre de l’UE/AELE conformément à l’art. 21 al. 1 LEtr et qu’il s’est trouvé dans une impossibilité absolue de trouver une personne capable d’exercer cette activité (ATA/361/2020du 16 avril 2020 consid. 4c et les références citées). La seule publication d'une annonce auprès de l'OCE, bien que diffusée également dans le système EURES, ne peut être considérée comme une démarche suffisante. (ATA/1147/2018 du 30 octobre 2018 consid. 11).</w:t>
      </w:r>
    </w:p>
    <w:p>
      <w:r>
        <w:rPr>
          <w:b/>
        </w:rPr>
        <w:t>E. 16</w:t>
      </w:r>
    </w:p>
    <w:p>
      <w:r>
        <w:t>Par ailleurs, l’étranger ne peut être admis en vue de l’exercice d’une activité lucrative qu’aux conditions de rémunération et de travail usuelles du lieu, de la profession et de la branche (art. 22 LEI).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aussi de prendre en considération les résultats des relevés statistiques sur les salaires (art. 22 al. 1 OASA).</w:t>
      </w:r>
    </w:p>
    <w:p>
      <w:r>
        <w:rPr>
          <w:b/>
        </w:rPr>
        <w:t>E. 17</w:t>
      </w:r>
    </w:p>
    <w:p>
      <w:r>
        <w:t>Selon les directives LEI (ch. 4.7.12.1), l’admission en Suisse des artistes de scène doit répondre à plusieurs conditions. Ainsi notamment les établissements requérants doivent être des théâtres et des opéras d’une certaine importance et des orchestres symphoniques et le nombre de ressortissants de pays hors UE/AELE ne doit pas dépasser ¼ de l’effectif total du personnel artistique. L’ordre de priorité prévu à l’art. 21 LEI doit être respecté. Pour démontrer les efforts de recrutement qu’il a déployés, l’employeur doit fournir la preuve qu’il a organisé une procédure de sélection (par ex. audition) permettant aux artistes suisses et aux ressortissants d’États membres de l’UE/AELE de faire valoir la maîtrise de leur art. Le dossier de demande doit contenir également des informations sur la procédure de sélection (par ex. le nombre de candidatures pour chaque nationalité, le nombre de personnes auditionnées, un extrait du procès-verbal relatif au choix des candidats). S’agissant des conditions de rémunération et de travail (art. 22 LEI), l’engagement doit porter sur une année et correspondre à 75 % d’une occupation à temps complet. La rétribution doit être conforme aux conditions de rémunération usuelles du lieu, de la profession et de la branche et doit permettre à l’artiste de subvenir à ses besoins. Qu’il s’agisse d’une autorisation initiale ou d’un changement d’emploi, une autorisation ne sera octroyée que si l’artiste est engagé directement par le centre culturel et non par l’intermédiaire d’une agence ou d’un manager. Enfin, quant aux qualifications personnelles (art. 23 LEI), il doit s’agir d’acteurs, musiciens, chanteurs et danseurs de ballet, justifiant d’une formation professionnelle complète dans leur domaine.</w:t>
      </w:r>
    </w:p>
    <w:p>
      <w:r>
        <w:rPr>
          <w:b/>
        </w:rPr>
        <w:t>E. 18</w:t>
      </w:r>
    </w:p>
    <w:p>
      <w:r>
        <w:t>Enfin, conformément à l'art. 90 LEI, l'étranger et les tiers participant à une procédure prévue par la loi doivent collaborer à la constatation des faits</w:t>
      </w:r>
    </w:p>
    <w:p>
      <w:r>
        <w:t>- 14/16 - A/3774/2023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19</w:t>
      </w:r>
    </w:p>
    <w:p>
      <w:r>
        <w:t>En l’espèce, au vu des écritures des parties et des pièces versées à la procédure, le tribunal parvient à la conclusion que l'analyse à laquelle a procédé l’OCIRT, qui dispose en la matière d'un large pouvoir d'appréciation, n'apparaît pas inappropriée. Il n'est en tout cas pas fondé sur des éléments dépourvus de pertinence, négligeant des facteurs décisifs ou guidée par une appréciation insoutenable des circonstances, que ce soit dans son approche ou dans son résultat. Au vu des circonstances, on ne peut admettre qu'il a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 Ni les compétences professionnelles de Mme A______, documentées, ni les avantages qu’elle procurerait à B______, ne sont remis en cause. Cependant, sous l’angle du respect du principe de la priorité, force est de constater que B______ n'a entrepris aucune démarche pour trouver un travailleur indigène ou ressortissant de l'UE/AELE afin de pourvoir le poste considéré, malgré les spécificités de celui-ci, ce que la recourante n'a d'ailleurs même pas allégué dans ses écritures. B______ n'a pas annoncé le poste à l'OCE, ni sur aucun autre site d'ailleurs. Or, compte tenu du profil spécifique recherché, elle aurait été tenue de procéder à des recherches étendues, notamment en publiant une annonce sur des sites spécialisés tant en Suisse qu'à l'étranger, d'éventuellement mandater une agence de placement à cette fin, de recourir aux réseaux sociaux ou encore de s'adresser à des organismes spécialisés, puis de procéder aux auditions des éventuels candidats. Dans ces conditions, force est de retenir que la condition de l'ordre de priorité de l'art. 21 al. 1 LEI n'est pas remplie au motif que la recourante n'a pas démontré que B______ avait été dans l'impossibilité de trouver un travailleur correspondant aux exigences du poste sur le marché local ou européen, en particulier parce que celle- ci avait, en vain, entrepris toutes les recherches utiles et nécessaires susceptibles d'être attendues d'elle. L'une des conditions légales cumulatives applicables n'ayant pas été respectée, il n'est pas nécessaire d'examiner si les autres conditions de l'art. 18 LEI sont réalisées, en particulier, la question de savoir si l'admission de Mme A______ servirait ou non les intérêts économiques du pays (let. a), ce qui apparaît néanmoins douteux au vu des pièces comptables de B______ figurant au dossier.</w:t>
      </w:r>
    </w:p>
    <w:p>
      <w:r>
        <w:t>- 15/16 - A/3774/2023 Au vu de ce qui précède, la demande de comparution personnelle formée par la recourante, ainsi que les auditions sollicitées par celle-ci, ne seront pas ordonnées dès lors qu'elles ont pour unique but, de l'aveux-même de la recourante, de démontrer qu'elle est l'unique personne à posséder les qualifications professionnelles requises pour ce poste.</w:t>
      </w:r>
    </w:p>
    <w:p>
      <w:r>
        <w:rPr>
          <w:b/>
        </w:rPr>
        <w:t>E. 20</w:t>
      </w:r>
    </w:p>
    <w:p>
      <w:r>
        <w:t>En conclusion, mal fondé, le recours est rejeté et la décision attaquée est confirmée.</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600.- ; il est partiellement couvert par l’avance de frais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- 16/16 - A/3774/2023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