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JTAPI/525/2023 vom 10. Mai 2023</w:t>
      </w:r>
    </w:p>
    <w:p>
      <w:r>
        <w:t>GE Cour de justice, 2023-05-10, FR</w:t>
      </w:r>
    </w:p>
    <w:p>
      <w:r>
        <w:rPr>
          <w:b/>
        </w:rPr>
        <w:t xml:space="preserve">Quelle: </w:t>
      </w:r>
      <w:r>
        <w:t>https://mcp.opencaselaw.ch/entscheid/ge_gerichte_JTAPI_525_2023</w:t>
      </w:r>
    </w:p>
    <w:p>
      <w:r>
        <w:t>FR: GE_GERICHTE JTAPI/525/2023 du 10 mai 2023</w:t>
      </w:r>
    </w:p>
    <w:p>
      <w:r>
        <w:t>IT: GE_GERICHTE JTAPI/525/2023 del 10 maggio 2023</w:t>
      </w:r>
    </w:p>
    <w:p>
      <w:pPr>
        <w:pStyle w:val="Heading2"/>
      </w:pPr>
      <w:r>
        <w:t>Erwägungen</w:t>
      </w:r>
    </w:p>
    <w:p>
      <w:r>
        <w:rPr>
          <w:b/>
        </w:rPr>
        <w:t>E. 18</w:t>
      </w:r>
    </w:p>
    <w:p>
      <w:r>
        <w:t>septembre 2014 consid. 4.1 et les références citées). 29. En conclusion, le recourant ne satisfait pas aux conditions strictes requises pour une demande de régularisation dans le cadre de l'opération Papyrus ni à celles restrictives prévues par les art. 30 al. 1 let. b LEI et 31 al. 1 OASA pour la reconnaissance d'un cas de rigueur. 30.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- 14/15 - A/247/2023 31.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32. En l’espèce, dès lors qu'il a refusé de délivrer une autorisation de séjour au recourant, l'OCPM devait en soi ordonner son renvoi de Suisse en application de l'art. 64 al. 1 let. c LEI. Aucun élément ne laisse pour le surplus supposer que l'exécution de cette mesure se révélerait impossible, illicite ou inexigible. 33. Mal fondé, le recours est rejeté. 34. 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 35. En vertu des art. 89 al. 2 et 111 al. 2 de la loi sur le Tribunal fédéral du 17 juin 2005 (LTF - RS 173.110), le présent jugement sera communiqué au SEM.</w:t>
      </w:r>
    </w:p>
    <w:p>
      <w:r>
        <w:t>- 15/15 - A/247/2023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