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JTAPI/523/2024 vom 29. Mai 2024</w:t>
      </w:r>
    </w:p>
    <w:p>
      <w:r>
        <w:t>GE Cour de justice, 2024-05-29, FR</w:t>
      </w:r>
    </w:p>
    <w:p>
      <w:r>
        <w:rPr>
          <w:b/>
        </w:rPr>
        <w:t xml:space="preserve">Quelle: </w:t>
      </w:r>
      <w:r>
        <w:t>https://mcp.opencaselaw.ch/entscheid/ge_gerichte_JTAPI_523_2024</w:t>
      </w:r>
    </w:p>
    <w:p>
      <w:r>
        <w:t>FR: GE_GERICHTE JTAPI/523/2024 du 29 mai 2024</w:t>
      </w:r>
    </w:p>
    <w:p>
      <w:r>
        <w:t>IT: GE_GERICHTE JTAPI/523/2024 del 29 maggio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 Il connait également des demandes de prolongation des mesures d'éloignement prononcées par le commissaire de police (art. 11 al. 2 LVD - F 1 30), sur lesquelles</w:t>
      </w:r>
    </w:p>
    <w:p>
      <w:r>
        <w:t>- 7/10 - A/1753/2024 il est tenu de statuer avant l'échéance de la mesure, avec un pouvoir d'examen s'étendant à l'opportunité (art. 11 al. 3 LVD).</w:t>
      </w:r>
    </w:p>
    <w:p>
      <w:r>
        <w:rPr>
          <w:b/>
        </w:rPr>
        <w:t>E. 2</w:t>
      </w:r>
    </w:p>
    <w:p>
      <w:r>
        <w:t>En l'espèce, Mme B______ a requis la prolongation de la mesure d'éloignement le 24 mai 2024, alors que M. A______ a fait opposition à cette mesure le 27 mai suivant.</w:t>
      </w:r>
    </w:p>
    <w:p>
      <w:r>
        <w:rPr>
          <w:b/>
        </w:rPr>
        <w:t>E. 3</w:t>
      </w:r>
    </w:p>
    <w:p>
      <w:r>
        <w:t>Déposées en temps utile et dans les formes prescrites devant la juridiction compétente, l'opposition et la demande de prolongation sont recevables au sens de l'art. 11 al. 1 et 2 LVD. Elles seront toutes le deux traitées dans le présent jugement, après jonction des procédures A/1753/2024 et A/1770/2024 y relatives sous le numéro de procédure A/1753/2024, en application de l'art. 70 al. 1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- 8/10 - A/1753/2024</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les déclarations de Mme B______ sont crédibles, notamment concernant les violences psychologiques dont elle indique être victime et l’emprise sous laquelle elle estime vivre. Elle a relevé à réitérées reprises la peur qu’elle a de son mari et notamment de ses réactions. Elle souligne également la consommation régulière de cannabis et d’alcool de ce dernier, lequel reconnait effectivement consommer un joint chaque soir en rentrant du travail. Elle reconnait cependant que son conjoint est un bon père mais a des craintes concernant son fils du fait de la consommation de stupéfiants et d’alcool : elle ne sollicite toutefois pas la prolongation de la mesure à l’encontre de son fils, estimant qu’il doit pouvoir voir son père. Par contre, les dénégations de M. A______ n’emportent pas conviction, notamment ses propos consistant à dire qu’il n’a rien à se reprocher, qu’il n’a jamais commis d’actes de violences envers Mme B______, même pas en tenant des propos dénigrant ou rabaissant à son égard, et surtout en déclarant ne pas entendre du tout que sa conjointe ait peur de lui. Selon lui, tout ce que sa conjointe lui reproche est inexact, et « toute cette histoire » vient du fait de son état et il ne voit aucun souci à revenir au domicile. Il découle de ce qui précède que M. A______ est incapable d’entendre les difficultés dans lesquelles sa conjointe se trouve, ce qu’elle décrit vivre au quotidien et la peur qui est la sienne, et de prendre conscience de la réelle situation de leur couple.</w:t>
      </w:r>
    </w:p>
    <w:p>
      <w:r>
        <w:t>Il est cependant évident que, ne pouvant se fonder que sur le dossier du commissaire de police et les déclarations recueillies à l'audience, le tribunal n'a qu'une vision très partielle de la situation globale et du fonctionnement du couple, ainsi que des difficultés qu'il a rencontrées jusqu'ici, s'agissant notamment des circonstances et</w:t>
      </w:r>
    </w:p>
    <w:p>
      <w:r>
        <w:t>- 9/10 - A/1753/2024 des éléments ayant conduit à la survenance des divers actes de violence domestique relatés. Il sera en outre rappelé que la mesure d'éloignement a pour objectif d'empêcher la réitération d'actes de violence, mais non de permettre aux personnes concernées de s'organiser pour modifier le cadre et les modalités de leur relation personnelle.</w:t>
      </w:r>
    </w:p>
    <w:p>
      <w:r>
        <w:t>Dès lors, il apparait que les époux vivent une période difficile ayant entrainé leur séparation quelques jours avant le prononcé de la mesure - même s’ils n’ont pas la même vision de la situation - et que cette dernière, qui a été respectée par les deux parties, permet notamment d’apaiser quelque peu les tensions. Par conséquent, étant rappelé, comme précisé plus haut, que les mesures d'éloignement n'impliquent pas un degré de preuve, mais une présomption suffisante des violences et de la personne de leur auteur, le tribunal confirmera, en l'espèce, la mesure d'éloignement prononcée à l'égard de M. A______. Prise pour une durée de dix jours, elle n'apparaît pas disproportionnée. L'opposition à la mesure sera donc rejetée.</w:t>
      </w:r>
    </w:p>
    <w:p>
      <w:r>
        <w:rPr>
          <w:b/>
        </w:rPr>
        <w:t>E. 6</w:t>
      </w:r>
    </w:p>
    <w:p>
      <w:r>
        <w:t>Concernant la demande de prolongation, Mme B______ a répété lors de l'audience qu'elle craignait de nouvelles violences de la part de son mari s'il revenait au domicile conjugal et qu'elle avait très peur de lui. Elle a confirmé qu'elle ne voulait pas reprendre la vie commune et qu'elle souhaitait désormais avoir un domicile séparé. M. A______ indique également vouloir se séparer.</w:t>
      </w:r>
    </w:p>
    <w:p>
      <w:r>
        <w:t>Dès lors, étant donné que chacun des époux se dit prêt à vivre de manière séparée, que Mme B______ a pu expliquer à son mari la crainte dans laquelle elle vit, que M. A______ a respecté la mesure et qu’il appartient maintenant aux deux conjoints d’organiser leur nouvelle vie, notamment concernant la prise en charge de leur fils, le tribunal ne peut retenir un risque concret des réitérations des violences, notamment psychologiques dont Mme B______ a fait état qui justifierait une prolongation de la mesure. Par conséquent, la demande de prolongation sera rejetée et la mesure d'éloignement prendra fin le 31 mai 2024 à 17h00.</w:t>
      </w:r>
    </w:p>
    <w:p>
      <w:r>
        <w:rPr>
          <w:b/>
        </w:rPr>
        <w:t>E. 7</w:t>
      </w:r>
    </w:p>
    <w:p>
      <w:r>
        <w:t>Il ne sera pas perçu d'émolument (art. 87 al. 1 LPA).</w:t>
      </w:r>
    </w:p>
    <w:p>
      <w:r>
        <w:rPr>
          <w:b/>
        </w:rPr>
        <w:t>E. 8</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- 10/10 - A/1753/2024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