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JTAPI/520/2024 vom 21. Mai 2024</w:t>
      </w:r>
    </w:p>
    <w:p>
      <w:r>
        <w:t>GE Cour de justice, 2024-05-21, FR</w:t>
      </w:r>
    </w:p>
    <w:p>
      <w:r>
        <w:rPr>
          <w:b/>
        </w:rPr>
        <w:t xml:space="preserve">Quelle: </w:t>
      </w:r>
      <w:r>
        <w:t>https://mcp.opencaselaw.ch/entscheid/ge_gerichte_JTAPI_520_2024</w:t>
      </w:r>
    </w:p>
    <w:p>
      <w:r>
        <w:t>FR: GE_GERICHTE JTAPI/520/2024 du 21 mai 2024</w:t>
      </w:r>
    </w:p>
    <w:p>
      <w:r>
        <w:t>IT: GE_GERICHTE JTAPI/520/2024 del 21 maggio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- 5/7 - A/1755/2024</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il apparait que le couple connait des difficultés et que la situation s'est dégradée. S'agissant des évènements ayant conduit au prononcé de la mesure d’éloignement litigieuse, les versions données par les parties diffèrent. En accordant du crédit à ce que déclare chacune d'elles, et au vu du certificat médical produit il peut être retenu que des violences ont été échangées le 23 décembre 2023, début avril 2024 et le 19 mai 2024. A cet égard, la question n'est pas de savoir lequel des intéressés est plus responsable que l'autre de la situation, ce qui est bien souvent impossible à établir. L'essentiel est de séparer les conjoints en étant au moins à peu près certain que celui qui est éloigné du domicile conjugal est lui aussi l'auteur de violences. Or, il existe ses soupçons suffisants et concrets que Mme A______ a subi des violences physiques de la part de M. B______, en présence de sa fille, eu égard aux déclarations des parties, notamment les aveux partiels de l’intéressé et au constat médical produit. Dans ces circonstances, vu en particulier le caractère récent des événements et de la tension qui entache les rapports des parties, la perspective qu'ils se retrouvent immédiatement sous le même toit apparaît inopportune, quand</w:t>
      </w:r>
    </w:p>
    <w:p>
      <w:r>
        <w:t>- 6/7 - A/1755/2024 bien même il est évident qu'une mesure d'éloignement administrative ne permettra pas, à elle seule, de régler la situation.</w:t>
      </w:r>
    </w:p>
    <w:p>
      <w:r>
        <w:rPr>
          <w:b/>
        </w:rPr>
        <w:t>E. 5</w:t>
      </w:r>
    </w:p>
    <w:p>
      <w:r>
        <w:t>Par conséquent, étant rappelé, comme précisé plus haut, que les mesures d'éloignement n'impliquent pas un degré de preuve, mais une présomption suffisante des violences et de la personne de leur auteur, la demande de prolongation sera admise et la mesure d'éloignement prolongée pour une durée de trente jours, soit jusqu'au 30 juin 2024 à 17 h 00.</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A/1755/2024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