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JTAPI/518/2021 vom 26. Mai 2021</w:t>
      </w:r>
    </w:p>
    <w:p>
      <w:r>
        <w:t>GE Cour de justice, 2021-05-26, FR</w:t>
      </w:r>
    </w:p>
    <w:p>
      <w:r>
        <w:rPr>
          <w:b/>
        </w:rPr>
        <w:t xml:space="preserve">Quelle: </w:t>
      </w:r>
      <w:r>
        <w:t>https://mcp.opencaselaw.ch/entscheid/ge_gerichte_JTAPI_518_2021</w:t>
      </w:r>
    </w:p>
    <w:p>
      <w:r>
        <w:t>FR: GE_GERICHTE JTAPI/518/2021 du 26 mai 2021</w:t>
      </w:r>
    </w:p>
    <w:p>
      <w:r>
        <w:t>IT: GE_GERICHTE JTAPI/518/2021 del 26 maggio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t>- 6/15 - A/3783/2020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 ; ATA/117/2016 du 9 février 2016 consid. 2 ; ATA/723/2015 du 14 juillet 2015 consid. 4a).</w:t>
      </w:r>
    </w:p>
    <w:p>
      <w:r>
        <w:rPr>
          <w:b/>
        </w:rPr>
        <w:t>E. 5</w:t>
      </w:r>
    </w:p>
    <w:p>
      <w:r>
        <w:t>La recourante sollicite à titre préalable son audition.</w:t>
      </w:r>
    </w:p>
    <w:p>
      <w:r>
        <w:rPr>
          <w:b/>
        </w:rPr>
        <w:t>E. 6</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7</w:t>
      </w:r>
    </w:p>
    <w:p>
      <w:r>
        <w:t>En l'espèce, la recourante, qui n'a pas de droit à être entendue oralement, a pu se prononcer par écrit au moyen de différentes écritures, auxquelles étaient jointes de nombreuses pièces, tant devant l'autorité intimée que devant le tribunal de céans,</w:t>
      </w:r>
    </w:p>
    <w:p>
      <w:r>
        <w:t>- 7/15 - A/3783/2020 qui dispose d'un dossier complet lui permettant de trancher le litige en toute connaissance de cause. La recourante ne fournit en outre pas d'argument concret permettant de penser qu'une audience de comparution personnelle serait indispensable à la résolution du litige. Dans ces circonstances, il ne sera pas donné suite à sa demande d'audition.</w:t>
      </w:r>
    </w:p>
    <w:p>
      <w:r>
        <w:rPr>
          <w:b/>
        </w:rPr>
        <w:t>E. 8</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ressortissantes et ressortissants des Philippines.</w:t>
      </w:r>
    </w:p>
    <w:p>
      <w:r>
        <w:rPr>
          <w:b/>
        </w:rPr>
        <w:t>E. 9</w:t>
      </w:r>
    </w:p>
    <w:p>
      <w:r>
        <w:t>Les conditions d’entrée d’un étranger en Suisse sont régies par les art. 5 ss LEI. Les dérogations aux prescriptions générales d’admission (art. 18 à 29 LEI) sont énoncées de manière exhaustive à l’art. 30 al. 1 LEI. Selon celui-ci, il est notamment possible de déroger aux conditions d’admission dans le but de tenir compte des cas individuels d’extrême gravité ou d’intérêts publics majeurs (let. b).</w:t>
      </w:r>
    </w:p>
    <w:p>
      <w:r>
        <w:rPr>
          <w:b/>
        </w:rPr>
        <w:t>E. 10</w:t>
      </w:r>
    </w:p>
    <w:p>
      <w:r>
        <w:t>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 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w:t>
      </w:r>
    </w:p>
    <w:p>
      <w:r>
        <w:rPr>
          <w:b/>
        </w:rPr>
        <w:t>E. 11</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w:t>
      </w:r>
    </w:p>
    <w:p>
      <w:r>
        <w:t>- 8/15 - A/3783/2020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12</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w:t>
      </w:r>
    </w:p>
    <w:p>
      <w:r>
        <w:rPr>
          <w:b/>
        </w:rPr>
        <w:t>E. 14</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w:t>
      </w:r>
    </w:p>
    <w:p>
      <w:r>
        <w:rPr>
          <w:b/>
        </w:rPr>
        <w:t>E. 15</w:t>
      </w:r>
    </w:p>
    <w:p>
      <w:r>
        <w:t>Bien que la durée du séjour en Suisse constitue un critère important lors de l’examen d’un cas d’extrême gravité, elle doit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arrêts du Tribunal administratif fédéral 2007/45 consid. 4.4 et 6.3 ; C-912/2015 du 23 novembre 2015 consid. 4.3.2 ; ATA/895/2018 du 4 septembre 2018 consid. 8).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2 : LEtr, 2017, p. 269 et les références citées). Par durée assez longue, la jurisprudence entend une période de sept à huit ans (arrêt du</w:t>
      </w:r>
    </w:p>
    <w:p>
      <w:r>
        <w:t>- 10/15 - A/3783/2020 Tribunal administratif fédéral C-7330/2010 du 19 mars 2012 ; ATA/1538/2017 précité ; Minh Son NGUYEN/Cesla AMARELLE, op. cit., p. 269). Le caractère continu ou non du séjour peut avoir une influence (arrêt du Tribunal administratif fédéral C-5048/2010 du 7 mai 2012 ; Minh Son NGUYEN/Cesla AMARELLE op. cit., p. 269).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(ATAF 2007/16 consid. 7 ; arrêt du Tribunal administratif fédéral E-643/2016 du 24 juillet 2017 consid. 5.1 et les références citées ; sous l'ancien droit, ATF 124 II 110 consid. 3 ; arrêt du Tribunal fédéral 2A.540/2005 du 11 novembre 2005 consid. 3.2.1).</w:t>
      </w:r>
    </w:p>
    <w:p>
      <w:r>
        <w:rPr>
          <w:b/>
        </w:rPr>
        <w:t>E. 16</w:t>
      </w:r>
    </w:p>
    <w:p>
      <w:r>
        <w:t>L'intégration socio-culturelle n'est en principe pas susceptible de justifier à elle seule l'octroi d'une autorisation de séjour pour cas de rigueur. Néanmoins, cet aspect peut revêtir une importance dans la pesée générale des intérêts (arrêt du Tribunal administratif fédéral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aussi Actualité du droit des étrangers, 2016, vol. I, p. 10).</w:t>
      </w:r>
    </w:p>
    <w:p>
      <w:r>
        <w:rPr>
          <w:b/>
        </w:rPr>
        <w:t>E. 17</w:t>
      </w:r>
    </w:p>
    <w:p>
      <w:r>
        <w:t>S’agissant en particulier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administratif fédéral 2A.540/2005 du 11 novembre 2005 ; ATA/775/2018 du 24 juillet 2018 ; ATA/882/2014 du 11 novembre 2014).</w:t>
      </w:r>
    </w:p>
    <w:p>
      <w:r>
        <w:rPr>
          <w:b/>
        </w:rPr>
        <w:t>E. 18</w:t>
      </w:r>
    </w:p>
    <w:p>
      <w:r>
        <w:t>L'opération « Papyrus », développée par le canton de Genève, visait à régulariser la situation des personnes non ressortissantes de l'Union européenne et de l'Association économique de libre-échange bien intégrées et répondant à différents critères. Répondant le 6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w:t>
      </w:r>
    </w:p>
    <w:p>
      <w:r>
        <w:t>- 11/15 - A/3783/2020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ou de son intégration professionnelle (https://www.parlament.ch/fr/ratsbetrieb/suche-curia- vista/geschaeft?AffairId=20175000, consulté le 26 mai 2021). Selon le site internet de l'État de Genève, le projet pilote « Papyrus » a pris fin le 31 décembre 2018, date limite pour le dépôt des dossiers de régularisation auprès de l'OCPM (https://www.ge.ch/regulariser-mon-statut-sejour-cadre-papyrus, consulté le 26 mai 2021).</w:t>
      </w:r>
    </w:p>
    <w:p>
      <w:r>
        <w:rPr>
          <w:b/>
        </w:rPr>
        <w:t>E. 19</w:t>
      </w:r>
    </w:p>
    <w:p>
      <w:r>
        <w:t>Dans le cadre de l’exercice de leur pouvoir d’appréciation, les autorités compétentes doivent tenir compte des intérêts publics, de la situation personnelle de l’étranger, ainsi que de son degré d’intégration (art. 96 al. 1 LEI).</w:t>
      </w:r>
    </w:p>
    <w:p>
      <w:r>
        <w:rPr>
          <w:b/>
        </w:rPr>
        <w:t>E. 20</w:t>
      </w:r>
    </w:p>
    <w:p>
      <w:r>
        <w:t>En l’espèce, la recourante a formulé sa demande d’autorisation le 11 octobre 2019, soit lorsque l’opération « Papyrus » était déjà arrivée à son terme. Dès lors, sa situation ne doit être examinée que sous l’angle du cas d’extrême gravité au sens de l’art. 30 al. 1 let. b LEI et 31 OASA, étant encore précisé que l’opération « Papyrus » concrétisait uniquement les critères légaux existants et ne constituait pas une nouvelle pratique. Dans son acte de recours, l'intéressée se prévaut de la durée de son séjour, proche de celle requise dans le cadre de l'opération « Papyrus ». Arrivée en Suisse en octobre 2011, la recourante s'y trouve en effet depuis plus de neuf ans, ce qui constitue une durée de séjour relativement longue. La recourante a néanmoins séjourné en Suisse de manière illégale jusqu'en 2019, puis au bénéfice de la tolérance des autorités cantonales pendant la procédure de demande d'autorisation de séjour. La durée de son séjour sur sol helvétique doit dès lors être relativisée. La recourante met ensuite en avant son intégration professionnelle, et soutient que ses attaches professionnelles durables justifieraient l'application du cas individuel d'extrême gravité. Même s'il est certes louable que la recourante ait été active professionnellement depuis son arrivée en Suisse, ce qui lui a permis d'être autonome financièrement, de ne faire l'objet d'aucune poursuite ni acte de défaut de biens et de ne jamais émarger à l'aide sociale, son parcours professionnel à Genève dans l'économie domestique, comme employée de maison, ne peut être qualifié d'ascension professionnelle remarquable, et ne l'a pas conduite à acquérir des connaissances professionnelles spécifiques à la Suisse qu'elle ne pourrait mettre à profit dans un autre pays, en particulier son pays d'origine. La recourante ne peut donc se prévaloir d'une intégration professionnelle exceptionnelle au sens de la jurisprudence précitée.</w:t>
      </w:r>
    </w:p>
    <w:p>
      <w:r>
        <w:t>- 12/15 - A/3783/2020</w:t>
      </w:r>
    </w:p>
    <w:p>
      <w:r>
        <w:t>La recourante indique également avoir fait sa vie en Suisse et s'être familiarisée avec la langue et les us et coutumes. Cependant, au niveau de la langue, il convient de constater qu'un niveau de français débutant, A1 ou encore A2 à l'oral apparaît être un minimum après un séjour en Suisse depuis 2011. La recourante a d'ailleurs elle-même indiqué qu’elle allait s’inscrire à un examen pour justifier de son niveau, et ce, à trois reprises. L'intéressée n'a en outre pas allégué qu'elle aurait de la famille en Suisse à l’exception de sa sœur, majeure, dont elle était proche. De plus, si elle a versé à la procédure des attestations d’amis et d'employeurs, louant ses qualités, ainsi qu'une attestation de la mission C______ et de la « D______ », ces liens ne peuvent être qualifiés d'exceptionnels au regard de la durée de son séjour sur sol helvétique et ils ne constituent pas des liens si étroits avec la Suisse qu'ils justifieraient à eux seuls une exception aux mesures de limitation.</w:t>
      </w:r>
    </w:p>
    <w:p>
      <w:r>
        <w:t>Au vu de ce qui précède, la recourante ne peut se prévaloir d'une intégration socio-professionnelle exceptionnelle au sens de la jurisprudence précitée. Le fait de travailler pour ne pas dépendre de l'aide sociale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w:t>
      </w:r>
    </w:p>
    <w:p>
      <w:r>
        <w:t>S'agissant des possibilités de réintégration dans son pays d'origine, la recourante a certes affirmé ne plus avoir de réseau amical aux Philippines, mais y avoir encore de la famille. Il ressort d’ailleurs du dossier qu'elle a régulièrement envoyé de l'argent dans ce pays jusqu'en 2019, ce qui tend à démontrer qu'elle y a justement des attaches. Arrivée en Suisse à l'âge de 26 ans, elle a vécu son enfance, son adolescence et le début de sa vie d'adulte, jusqu'à cet âge, moment de son départ pour l'Europe, dans son pays d'origine, où elle a ainsi passé les années déterminantes pour le développement de sa personnalité. De plus, si la recourante affirme n'avoir quasiment pas exercé d'activité professionnelle aux Philippines et n’avoir développé ses connaissances professionnelles qu’en Suisse, elle pourra toutefois faire valoir ces dernières à son retour dans son pays d’origine.</w:t>
      </w:r>
    </w:p>
    <w:p>
      <w:r>
        <w:t>En définitive, il ne ressort pas du dossier que les difficultés auxquelles la recourante devrait faire face en cas de retour aux Philippines seraient pour elle plus graves que pour la moyenne des étrangers, en particulier des ressortissants des Philippines retournant dans leur pays après un long séjour à l’étranger. Enfin, il faut rappeler que celui qui place l'autorité devant le fait accompli doit s'attendre à ce que celle-ci se préoccupe davantage de rétablir une situation conforme au droit que d'éviter les inconvénients qui en découlent pour lui (ATF</w:t>
      </w:r>
    </w:p>
    <w:p>
      <w:r>
        <w:t>- 13/15 - A/3783/2020 123 II 248 consid. 4a ; 111 Ib 213 consid. 6b ; arrêts du Tribunal fédéral 1C_33/2014 du 18 septembre 2014 consid. 4.1 ; 1C_269/2013 du 10 décembre 2013 consid. 4.1 et les références citées).</w:t>
      </w:r>
    </w:p>
    <w:p>
      <w:r>
        <w:t>Au vu de ce qui précède et au regard de l'ensemble des circonstances du cas d'espèce, la recourante ne se trouve pas une situation de détresse personnelle au sens de l'art. 30 al. 1 let. b LEI. S'il est vrai qu'un retour dans son pays d'origine pourra engendrer pour elle des difficultés, inhérentes à un retour après des années d'absence, sa situation n'est pas remise en cause de manière accrue et elle ne se trouve pas dans une situation si rigoureuse qu’on ne puisse exiger son retour au Philippines.</w:t>
      </w:r>
    </w:p>
    <w:p>
      <w:r>
        <w:t>Il ne se justifie dès lors pas de déroger aux conditions d'admission en Suisse en faveur de l'intéressée, de sorte que l'autorité intimée était fondée à refuser de donner une suite positive à sa demande d'autorisation de séjour et l'instance précédente à confirmer ledit refus. Le grief sera par conséquent écarté.</w:t>
      </w:r>
    </w:p>
    <w:p>
      <w:r>
        <w:rPr>
          <w:b/>
        </w:rPr>
        <w:t>E. 21</w:t>
      </w:r>
    </w:p>
    <w:p>
      <w:r>
        <w:t>Selon l'art. 64 al. 1 let. c LEI, toute personne étrangère dont l'autorisation est refusée, révoquée ou qui n'est pas prolongée après un séjour autorisé est renvoyée. Elle ne dispose à ce titre d'aucun pouvoir d'appréciation, le renvoi constituant la conséquence logique et inéluctable du rejet d'une demande d'autorisation (arrêts du Tribunal administratif fédéral C-5268/2008 du 1er juin 2011 consid. 10 ; C-406/2006 du 2 septembre 2008 consid. 8 et la référence citée ; ATA/473/2021 du 4 mai 2021).</w:t>
      </w:r>
    </w:p>
    <w:p>
      <w:r>
        <w:rPr>
          <w:b/>
        </w:rPr>
        <w:t>E. 22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23</w:t>
      </w:r>
    </w:p>
    <w:p>
      <w:r>
        <w:t>En l'espèce, la recourante n'allègue pas, et il ne ressort pas du dossier, que son renvoi serait impossible, illicite ou inexigible. C'est par conséquent à bon droit que l'autorité intimée a prononcé le renvoi de la recourante et ordonné l'exécution de celui-ci.</w:t>
      </w:r>
    </w:p>
    <w:p>
      <w:r>
        <w:rPr>
          <w:b/>
        </w:rPr>
        <w:t>E. 24</w:t>
      </w:r>
    </w:p>
    <w:p>
      <w:r>
        <w:t>Mal fondé, le recours sera ainsi rejeté.</w:t>
      </w:r>
    </w:p>
    <w:p>
      <w:r>
        <w:rPr>
          <w:b/>
        </w:rPr>
        <w:t>E. 25</w:t>
      </w:r>
    </w:p>
    <w:p>
      <w:r>
        <w:t>En application des art. 87 al. 1 LPA et 1 et 2 du règlement sur les frais, émoluments et indemnités en procédure administrative du 30 juillet 1986 (RFPA -</w:t>
      </w:r>
    </w:p>
    <w:p>
      <w:r>
        <w:t>- 14/15 - A/3783/2020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secrétariat d'État aux migrations.</w:t>
      </w:r>
    </w:p>
    <w:p>
      <w:r>
        <w:t>- 15/15 - A/3783/2020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