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JTAPI/512/2024 vom 28. Mai 2024</w:t>
      </w:r>
    </w:p>
    <w:p>
      <w:r>
        <w:t>GE Cour de justice, 2024-05-28, FR</w:t>
      </w:r>
    </w:p>
    <w:p>
      <w:r>
        <w:rPr>
          <w:b/>
        </w:rPr>
        <w:t xml:space="preserve">Quelle: </w:t>
      </w:r>
      <w:r>
        <w:t>https://mcp.opencaselaw.ch/entscheid/ge_gerichte_JTAPI_512_2024</w:t>
      </w:r>
    </w:p>
    <w:p>
      <w:r>
        <w:t>FR: GE_GERICHTE JTAPI/512/2024 du 28 mai 2024</w:t>
      </w:r>
    </w:p>
    <w:p>
      <w:r>
        <w:t>IT: GE_GERICHTE JTAPI/512/2024 del 28 maggio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t>- 5/8 - A/444/2024</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w:t>
      </w:r>
    </w:p>
    <w:p>
      <w:r>
        <w:rPr>
          <w:b/>
        </w:rPr>
        <w:t>E. 4</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5</w:t>
      </w:r>
    </w:p>
    <w:p>
      <w:r>
        <w:t>Pour déterminer la durée et s'il y a lieu de prononcer un retrait d'admonestation, la LCR distingue les infractions légères (art. 16a LCR), moyennement graves (art. 16b LCR) et graves (art. 16c LCR).</w:t>
      </w:r>
    </w:p>
    <w:p>
      <w:r>
        <w:rPr>
          <w:b/>
        </w:rPr>
        <w:t>E. 6</w:t>
      </w:r>
    </w:p>
    <w:p>
      <w:r>
        <w:t>Commet en particulier une infraction grave, selon l'art. 16c al. 1 let. a LCR, la personne qui, en violant gravement les règles de la circulation, met sérieusement en danger la sécurité d'autrui ou en prend le risque.</w:t>
      </w:r>
    </w:p>
    <w:p>
      <w:r>
        <w:rPr>
          <w:b/>
        </w:rPr>
        <w:t>E. 7</w:t>
      </w:r>
    </w:p>
    <w:p>
      <w:r>
        <w:t>Aux termes de l'art. 26 al. 1 LCR, chacun doit se comporter dans la circulation de manière à ne pas gêner ni mettre en danger ceux qui utilisent la route conformément aux règles établies.</w:t>
      </w:r>
    </w:p>
    <w:p>
      <w:r>
        <w:rPr>
          <w:b/>
        </w:rPr>
        <w:t>E. 8</w:t>
      </w:r>
    </w:p>
    <w:p>
      <w:r>
        <w:t>L'art. 27 al. 1 LCR stipule que chacun se conformera aux signaux et marques ainsi qu'aux ordres de la police.</w:t>
      </w:r>
    </w:p>
    <w:p>
      <w:r>
        <w:rPr>
          <w:b/>
        </w:rPr>
        <w:t>E. 9</w:t>
      </w:r>
    </w:p>
    <w:p>
      <w:r>
        <w:t>L'art. 34 LCR prévoit que Les véhicules tiendront leur droite et circuleront, si la route est large, sur la moitié droite de celle-ci. Ils longeront le plus possible le bord droit de la chaussée, en particulier s’ils roulent lentement ou circulent sur un tronçon dépourvu de visibilité (al. 1). Les véhicules circuleront toujours à droite des lignes de sécurité tracées sur la chaussée (al. 2).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w:t>
      </w:r>
    </w:p>
    <w:p>
      <w:r>
        <w:rPr>
          <w:b/>
        </w:rPr>
        <w:t>E. 10</w:t>
      </w:r>
    </w:p>
    <w:p>
      <w:r>
        <w:t>Selon l'art. 35 LCR, les croisements se font à droite, les dépassements à gauche (al. 1). Il n’est permis d’exécuter un dépassement ou de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w:t>
      </w:r>
    </w:p>
    <w:p>
      <w:r>
        <w:t>- 6/8 - A/444/2024 assez tôt dans la file des véhicules sans entraver leur circulation (al. 2). Celui qui dépasse doit avoir particulièrement égard aux autres usagers de la route, notamment à ceux qu’il veut dépasser (al. 3). Le dépassement est interdit au conducteur qui s’engage dans un tournant sans visibilité, qui franchit ou s’apprête à franchir un passage à niveau sans barrières ou qui s’approche du sommet d’une côte; aux intersections, le dépassement n’est autorisé que si la visibilité est bonne et s’il n’en résulte aucune atteinte au droit de priorité des autres usagers (al. 4). Le dépassement d’un véhicule est interdit lorsque le conducteur manifeste son intention d’obliquer à gauche ou lorsqu’il s’arrête devant un passage pour piétons afin de permettre à ceux-ci de traverser la route (al. 5). Les véhicules qui se sont mis en ordre de présélection en vue d’obliquer à gauche ne pourront être dépassés que par la droite (al. 6). La chaussée doit être dégagée pour donner la possibilité de dépasser aux véhicules qui roulent plus rapidement et signalent leur approche. Le conducteur n’accélérera pas son allure au moment où il est dépassé (al. 7).</w:t>
      </w:r>
    </w:p>
    <w:p>
      <w:r>
        <w:rPr>
          <w:b/>
        </w:rPr>
        <w:t>E. 11</w:t>
      </w:r>
    </w:p>
    <w:p>
      <w:r>
        <w:t>À teneur de l'art. 44 LCR, sur les routes marquées de plusieurs voies pour une même direction, le conducteur ne peut passer d’une voie à une autre que s’il n’en résulte pas de danger pour les autres usagers de la route (al. 1). Le même principe est applicable par analogie lorsque des files de véhicules placées parallèlement circulent dans la même direction sur des routes larges dont les voies ne sont pas marquées (al. 2).</w:t>
      </w:r>
    </w:p>
    <w:p>
      <w:r>
        <w:rPr>
          <w:b/>
        </w:rPr>
        <w:t>E. 12</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13</w:t>
      </w:r>
    </w:p>
    <w:p>
      <w:r>
        <w:t>En l'occurrence, le recourant a définitivement été condamné par le Tribunal de police, lequel se fondant sur les faits retenus dans l'ordonnance pénale du Ministère public, l'a reconnu coupable de violation grave et de violation simple des règles de la circulation routière. Il a ainsi commis plusieurs infractions aux règles de la circulation routière dont, à tout le moins l'une d'elle a été qualifiée de grave par le juge pénal.</w:t>
      </w:r>
    </w:p>
    <w:p>
      <w:r>
        <w:rPr>
          <w:b/>
        </w:rPr>
        <w:t>E. 14</w:t>
      </w:r>
    </w:p>
    <w:p>
      <w:r>
        <w:t>Après une infraction grave, le permis de conduire est retiré pour trois mois au minimum (art. 16c al. 2 let. a LCR).</w:t>
      </w:r>
    </w:p>
    <w:p>
      <w:r>
        <w:t>- 7/8 - A/444/2024</w:t>
      </w:r>
    </w:p>
    <w:p>
      <w:r>
        <w:rPr>
          <w:b/>
        </w:rPr>
        <w:t>E. 15</w:t>
      </w:r>
    </w:p>
    <w:p>
      <w:r>
        <w:t>L’art. 16 al. 3 LCR prévoit que la durée minimale du retrait du permis de conduire ne peut être réduite. Cette règle s’impose à l'autorité et aux tribunaux sans dérogation possible, même pour tenir compte de besoins professionnels particuliers du conducteur ; si des circonstances telles que la gravité de la faute, les antécédents ou la nécessité professionnelle de conduire un véhicule automobile doivent être prises en compte pour fixer la durée du retrait, la durée minimale ne peut pas être réduite (cf. ATF 135 II 334 consid. 2.2 ; 132 II 234 consid. 2.3 ; arrêts du Tribunal fédéral 1C_312/2015 du 1er juillet 2015 consid. 3.2).</w:t>
      </w:r>
    </w:p>
    <w:p>
      <w:r>
        <w:rPr>
          <w:b/>
        </w:rPr>
        <w:t>E. 16</w:t>
      </w:r>
    </w:p>
    <w:p>
      <w:r>
        <w:t>Compte tenu de ce qui précède, c'est à juste titre que l’OCV a retiré le permis de conduire du recourant pour une durée de trois mois en application de l'art. 16c al. 2 let. a LCR. Étant lié par cette durée, qui constitue le minimum légal incompressible devant sanctionner une telle infraction, l’OCV ne pouvait tenir compte des besoins professionnels évoqués par le recourant dans une plus grande mesure et a donc parfaitement appliqué les règles en vigueur et n'a pas excédé ou abusé de son pouvoir d'appréciation. Partant, le recours doit être rejeté et la décision de l’OCV confirmée.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- 8/8 - A/444/2024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