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JTAPI/511/2025 vom 15. Mai 2025</w:t>
      </w:r>
    </w:p>
    <w:p>
      <w:r>
        <w:t>GE Cour de justice, 2025-05-15, FR</w:t>
      </w:r>
    </w:p>
    <w:p>
      <w:r>
        <w:rPr>
          <w:b/>
        </w:rPr>
        <w:t xml:space="preserve">Quelle: </w:t>
      </w:r>
      <w:r>
        <w:t>https://mcp.opencaselaw.ch/entscheid/ge_gerichte_JTAPI_511_2025</w:t>
      </w:r>
    </w:p>
    <w:p>
      <w:r>
        <w:t>FR: GE_GERICHTE JTAPI/511/2025 du 15 mai 2025</w:t>
      </w:r>
    </w:p>
    <w:p>
      <w:r>
        <w:t>IT: GE_GERICHTE JTAPI/511/2025 del 15 maggio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A titre préalable, la recourante sollicite l'audition de de Monsieur F______, associé gérant de E______ SÀRL, sans toutefois motiver sa requête.</w:t>
      </w:r>
    </w:p>
    <w:p>
      <w:r>
        <w:rPr>
          <w:b/>
        </w:rPr>
        <w:t>E. 4</w:t>
      </w:r>
    </w:p>
    <w:p>
      <w:r>
        <w:t>juillet 2019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du 4 juillet 2019 consid. 2.1 ; ATA/631/2020 du 30 juin 2020 consid. 2 a et les arrêts cités). Le droit d'être entendu ne contient pas non plus d’obligation de discuter tous les griefs et moyens de preuve du recourant ; il suffit que le juge discute ceux qui sont pertinents pour l'issue du litige (ATF 141 III 28 consid. 3.2.4 ; arrêts du Tribunal</w:t>
      </w:r>
    </w:p>
    <w:p>
      <w:r>
        <w:t>- 6/9 - A/1383/2024 fédéral 9C_245/2020 du 12 juin 2020 consid. 3.2.1 ; ATA/631/2020 du 30 juin 2020 consid. 2a).</w:t>
      </w:r>
    </w:p>
    <w:p>
      <w:r>
        <w:rPr>
          <w:b/>
        </w:rPr>
        <w:t>E. 5</w:t>
      </w:r>
    </w:p>
    <w:p>
      <w:r>
        <w:t>En l'espèce, la recourante a pu exposer ses arguments de façon détaillée dans ses écritures et la procédure contient toutes les pièces utiles. Dès lors, l'acte d’instruction demandé n'est pas nécessaire à la solution du litige, comme cela ressort également des considérants qui suivent. Partant, il ne sera pas donné suite à la demande d’acte d’instruction formulée, en soit non obligatoire.</w:t>
      </w:r>
    </w:p>
    <w:p>
      <w:r>
        <w:rPr>
          <w:b/>
        </w:rPr>
        <w:t>E. 6</w:t>
      </w:r>
    </w:p>
    <w:p>
      <w:r>
        <w:t>La recourante conteste tant le principe que la quotité de l'amende.</w:t>
      </w:r>
    </w:p>
    <w:p>
      <w:r>
        <w:rPr>
          <w:b/>
        </w:rPr>
        <w:t>E. 7</w:t>
      </w:r>
    </w:p>
    <w:p>
      <w:r>
        <w:t>Selon l’art. 137 al. 1 let. c LCI, est passible d’une amende administrative de CHF 100.- à 150’000.- tout contrevenant aux ordres donnés par le département dans les limites de la présente loi et des règlements et arrêtés édictés en vertu de celle-ci. Il est tenu compte, dans la fixation du montant de l’amende, du degré de gravité de l’infraction. La violation des prescriptions par cupidité, ainsi que les cas de récidive constituent notamment des circonstances aggravantes (art. 137 al. 3 LCI).</w:t>
      </w:r>
    </w:p>
    <w:p>
      <w:r>
        <w:rPr>
          <w:b/>
        </w:rPr>
        <w:t>E. 8</w:t>
      </w:r>
    </w:p>
    <w:p>
      <w:r>
        <w:t>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ATA/147/2014 du 11 mars 2014 consid. 11 ; Alain MACALUSO/ Laurent MOREILLON/ Nicolas QUELOZ [éd.], Commentaire romand du Code pénal II, Art. 111-392 CP, 2017, n. 2 ad art. 292 p. 1887).</w:t>
      </w:r>
    </w:p>
    <w:p>
      <w:r>
        <w:rPr>
          <w:b/>
        </w:rPr>
        <w:t>E. 9</w:t>
      </w:r>
    </w:p>
    <w:p>
      <w:r>
        <w:t>À l’instar de cette disposition pénale, la condamnation de l’auteur pour infraction à l’art. 137 al. 1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(ATA/147/2014 du</w:t>
      </w:r>
    </w:p>
    <w:p>
      <w:r>
        <w:rPr>
          <w:b/>
        </w:rPr>
        <w:t>E. 11</w:t>
      </w:r>
    </w:p>
    <w:p>
      <w:r>
        <w:t>Reste à déterminer si la quotité de l’amende respecte le principe de proportionnalité. La jurisprudence précise que le département jouit d’un large pouvoir d’appréciation pour en fixer le montant et le tribunal ne la censure qu’en cas d’excès. Sont pris en considération la nature, la gravité et la fréquence des infractions commises dans le respect du principe de la proportionnalité (ATA/604/2022 du 7 juin 2022 consid. 8a ; ATA/19/2018 du 9 janvier 2018 consid. 9d, confirmé par arrêt du Tribunal fédéral 1C_80/2018 du 23 mai 2019).</w:t>
      </w:r>
    </w:p>
    <w:p>
      <w:r>
        <w:rPr>
          <w:b/>
        </w:rPr>
        <w:t>E. 12</w:t>
      </w:r>
    </w:p>
    <w:p>
      <w:r>
        <w:t>Le principe de proportionnalité commande que la mesure étatique soit nécessaire et apte à atteindre le but prévu et qu’elle soit raisonnable pour la personne concernée (ATF 140 I 257 consid. 6.3.1). Ainsi, la décision prononcée doit être apte à produire les résultats escomptés (règle de l’aptitude), ne doit pas pouvoir être atteinte par une mesure moins incisive (règle de la nécessité) et il doit exister un rapport raisonnable entre le but d’intérêt public recherché par cette mesure et les intérêts privés en cause (ATA/917/2021 du 7 septembre 2021 consid. 8a).</w:t>
      </w:r>
    </w:p>
    <w:p>
      <w:r>
        <w:rPr>
          <w:b/>
        </w:rPr>
        <w:t>E. 13</w:t>
      </w:r>
    </w:p>
    <w:p>
      <w:r>
        <w:t>En l’espèce, la recourante a persisté à plusieurs reprises dans son omission coupable de sorte que la circonstance aggravante de la récidive est réalisée. Malgré la dernière sanction d'un montant de CHF 5'000.-, la recourante a persisté à refuser de s'exécuter. L'autorité intimée pouvait donc augmenter le montant des amendes au fil des infractions pour, légitimement, tenir compte de la récidive.</w:t>
      </w:r>
    </w:p>
    <w:p>
      <w:r>
        <w:rPr>
          <w:b/>
        </w:rPr>
        <w:t>E. 14</w:t>
      </w:r>
    </w:p>
    <w:p>
      <w:r>
        <w:t>Ces comportements successifs dénotent une absence totale de considération pour les dispositions légales en vigueur et pour les décisions des autorités, qui doit être sanctionnée sévèrement. Dans ces conditions, force est de constater que le département n'a pas excédé son pouvoir d'appréciation en fixant le montant de l’amende à CHF 9'000.-, figurant au bas de l'échelle prévue par l'art. 137 al. 1 LCI.</w:t>
      </w:r>
    </w:p>
    <w:p>
      <w:r>
        <w:rPr>
          <w:b/>
        </w:rPr>
        <w:t>E. 15</w:t>
      </w:r>
    </w:p>
    <w:p>
      <w:r>
        <w:t>Au surplus, le recourant ne démontre ni ne soutient que le paiement de cette amende l’exposerait à des difficultés financières particulières.</w:t>
      </w:r>
    </w:p>
    <w:p>
      <w:r>
        <w:rPr>
          <w:b/>
        </w:rPr>
        <w:t>E. 16</w:t>
      </w:r>
    </w:p>
    <w:p>
      <w:r>
        <w:t>Mal fondé, le recours sera rejeté.</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w:t>
      </w:r>
    </w:p>
    <w:p>
      <w:r>
        <w:t>- 8/9 - A/1383/2024</w:t>
      </w:r>
    </w:p>
    <w:p>
      <w:r>
        <w:rPr>
          <w:b/>
        </w:rPr>
        <w:t>E. 18</w:t>
      </w:r>
    </w:p>
    <w:p>
      <w:r>
        <w:t>Vu l’issue du litige, aucune indemnité de procédure ne sera allouée (art. 87 al. 2 LPA).</w:t>
      </w:r>
    </w:p>
    <w:p>
      <w:r>
        <w:t>- 9/9 - A/1383/2024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