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JTAPI/50/2011 vom 14. Februar 2011</w:t>
      </w:r>
    </w:p>
    <w:p>
      <w:r>
        <w:t>GE Cour de justice, 2011-02-14, FR</w:t>
      </w:r>
    </w:p>
    <w:p>
      <w:r>
        <w:rPr>
          <w:b/>
        </w:rPr>
        <w:t xml:space="preserve">Quelle: </w:t>
      </w:r>
      <w:r>
        <w:t>https://mcp.opencaselaw.ch/entscheid/ge_gerichte_JTAPI_50_2011</w:t>
      </w:r>
    </w:p>
    <w:p>
      <w:r>
        <w:t>FR: GE_GERICHTE JTAPI/50/2011 du 14 février 2011</w:t>
      </w:r>
    </w:p>
    <w:p>
      <w:r>
        <w:t>IT: GE_GERICHTE JTAPI/50/2011 del 14 febbraio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et art. 67 LDS).</w:t>
      </w:r>
    </w:p>
    <w:p>
      <w:r>
        <w:rPr>
          <w:b/>
        </w:rPr>
        <w:t>E. 2</w:t>
      </w:r>
    </w:p>
    <w:p>
      <w:r>
        <w:t>Interjeté en temps utile et dans les formes prescrites devant la juridiction compétente, le recours est recevable au sens des articles 63 alinéa 1, 65 de la loi sur la procédure administrative du 12 septembre 1985 (LPA – E 5 10) et 67 LDS.</w:t>
      </w:r>
    </w:p>
    <w:p>
      <w:r>
        <w:t>- 4/6 - A/290/2010</w:t>
      </w:r>
    </w:p>
    <w:p>
      <w:r>
        <w:rPr>
          <w:b/>
        </w:rPr>
        <w:t>E. 3</w:t>
      </w:r>
    </w:p>
    <w:p>
      <w:r>
        <w:t>Les contribuables se plaignent d’un cumul entre l’impôt sur les successions et l’impôt sur les bénéfices et gains immobiliers.</w:t>
      </w:r>
    </w:p>
    <w:p>
      <w:r>
        <w:rPr>
          <w:b/>
        </w:rPr>
        <w:t>E. 4</w:t>
      </w:r>
    </w:p>
    <w:p>
      <w:r>
        <w:t>Les immeubles et droits immobiliers sont estimés à leur valeur vénale au jour du décès (art. 10 LDS). En application de l’article 73 alinéa 1 lettre a LDS, l’administration est fondée à notifier un bordereau de droits de succession complémentaire, lorsque l’immeuble du de cujus est vendu dans les 27 mois à compter du jour du décès à un pris supérieur à la valeur vénale (cf. en ce sens (DCCR/143/2004 du 20 septembre 2004).</w:t>
      </w:r>
    </w:p>
    <w:p>
      <w:r>
        <w:rPr>
          <w:b/>
        </w:rPr>
        <w:t>E. 5</w:t>
      </w:r>
    </w:p>
    <w:p>
      <w:r>
        <w:t>En droit cantonal, l'imposition sur les bénéfices et gains immobiliers fait l'objet de dispositions de la LCP dont la dernière modification est entrée en vigueur le 1er janvier 1995. L’IBGI est perçu sur le bénéfice net provenant de l'aliénation d'immeubles sis dans le canton, ainsi que sur certains gains que ces immeubles procurent sans aliénation (art. 80 al. 1 LCP). Est considéré comme aliénation tout acte qui confère à un acquéreur la propriété ou la réelle disposition économique d'un immeuble, soit notamment la vente, l’échange, le partage, l’expropriation et l'apport dans une société (art. 80 al. 4 LCP). Lors d’un partage ou d'un échange, l'impôt est perçu immédiatement sur la soulte reçue pour la part qui représente une plus-value de l'immeuble aliéné (art. 81 al. 2 LCP). L'impôt n'est pas perçu en cas de succession ou de partage successoral (art. 81 al. 3 let. c LCP).</w:t>
      </w:r>
    </w:p>
    <w:p>
      <w:r>
        <w:t>Depuis le 1er janvier 2001, l'article 12 LHID pose également des règles en matière d’IBGI. Celui-ci a pour objet les gains réalisés lors de l'aliénation de tout ou partie d'un immeuble faisant partie de la fortune privée du contribuable ou d'un immeuble agricole ou sylvicole. Il n'y a imposition que si le produit de l'aliénation est supérieur aux dépenses d'investissement (prix d'acquisition ou autre valeur s'y substituant, impenses) (art. 12 al. 1 LHID). Sont notamment assimilés à une aliénation, les actes juridiques qui ont les mêmes effets économiques que l'aliénation sur le pouvoir de disposer d'un immeuble (art. 12 al. 2 let. a LHID). L'imposition est différée notamment en cas de transfert de propriété par succession (dévolution d'hérédité, partage successoral, legs), avancement d'hoirie ou donation (art. 12 al. 3 let. a LHID).</w:t>
      </w:r>
    </w:p>
    <w:p>
      <w:r>
        <w:rPr>
          <w:b/>
        </w:rPr>
        <w:t>E. 6</w:t>
      </w:r>
    </w:p>
    <w:p>
      <w:r>
        <w:t>Le 19 novembre 2008, l’administration a publié l’Information 3/2008 aux associations professionnelles intitulée « Impôt sur les bénéfices et gains immobiliers : revente d'un immeuble acquis par voie de succession ou de partage successoral ». A teneur de ladite Information, en qu'en cas de revente d'immeubles, il conviendra de ne plus appliquer les dispositions de la LCP qui sont contraires à la LHID. En conséquence, les transferts antérieurs opérés suite à un décès ou à un partage successoral seront ignorés. Ceci vaudra tant pour la détermination de l'assiette imposable que pour le taux de l'impôt. Cette pratique ne concernera que les</w:t>
      </w:r>
    </w:p>
    <w:p>
      <w:r>
        <w:t>- 5/6 - A/290/2010 reventes d'immeubles acquis successivement à un décès ou à un partage successoral intervenu dès le 1er janvier 20011.</w:t>
      </w:r>
    </w:p>
    <w:p>
      <w:r>
        <w:rPr>
          <w:b/>
        </w:rPr>
        <w:t>E. 7</w:t>
      </w:r>
    </w:p>
    <w:p>
      <w:r>
        <w:t>Contrairement à la solution cantonale, la dévolution successorale ne fait que différer l'imposition immobilière ; un nouveau délai ne commence pas à courir. En conséquence, lors d'une vente ultérieure, l'impôt immobilier sera calculé en tenant compte du délai afférent au moment de l'acquisition de l'immeuble par le de cujus et non pas au moment de l'acquisition par voie de succession comme le prévoit la solution genevoise (ATA/558/2006 du 17 octobre 2006).</w:t>
      </w:r>
    </w:p>
    <w:p>
      <w:r>
        <w:rPr>
          <w:b/>
        </w:rPr>
        <w:t>E. 8</w:t>
      </w:r>
    </w:p>
    <w:p>
      <w:r>
        <w:t>En l’espèce, M______ est décédée le 30 janvier 2009. L’immeuble a été vendu – à terme – par acte authentique du 25 mars 2009, soit près de trois mois plus tard. Quoi qu’en pensent les recourants, le fait que la vente soit intervenue dans les 27 mois à compter du décès ne signifie pas que l’IBGI ne soit pas dû. L’article 73 alinéa 1 lettre a LDS instaure la prescription du droit de taxer. Les droits de l’Etat résultant de l’assujettissement aux droits de succession se prescrivent par deux ans et trois mois (27 mois) à compter du jour du décès, en cas de perception insuffisante à la suite d’une estimation erronée d’un élément de la succession, d’une erreur de calcul ou de taxation. Le tribunal observe que l’IBGI – dont le montant n’est pas litigieux en l’espèce – n’a pas été réclamé aux héritiers et légataires du fait de l’acquisition de l’immeuble par voie successorale, mais en raison de la vente du 25 mars 2009. Afin de déterminer le taux, l’administration a, à juste titre, pris comme point de départ du délai la date d’acquisition par le de cujus, soit le 28 août 1998 et a correctement choisi le taux d’impôt (10 %), compte tenu d’une durée de propriété de près de dix ans et sept mois. L’article 84 alinéa 1 lettre f est dès lors applicable : taux de 10 % pour une durée de propriété de plus de dix ans et moins de 25 ans. Etant donné que les droits de succession et que l’IBGI frappent en l’espèce des objets différents (soit d'une part le transfert de l’immeuble par voie successorale aux héritiers et aux légataires, et d'autre part la vente immobilière du 25 mars 2009), l’existence d’un cumul, qui serait cas échéant prohibé, ne se pose pas. Au vu de ce qui précède, le recours doit être rejeté.</w:t>
      </w:r>
    </w:p>
    <w:p>
      <w:r>
        <w:rPr>
          <w:b/>
        </w:rPr>
        <w:t>E. 9</w:t>
      </w:r>
    </w:p>
    <w:p>
      <w:r>
        <w:t>En application des articles 87 alinéa 1 LPA et 1 et 2 du règlement genevois sur les frais, émoluments et indemnités en procédure administrative (RFPA – E 5 10.03), les contribuables, qui succombent, sont condamné au paiement d’un émolument de 500 fr. Ce montant est couvert par l’avance de frais de 500 fr., effectuée au moment du dépôt du recours (art. 86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