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JTAPI/508/2022 vom 16. Mai 2022</w:t>
      </w:r>
    </w:p>
    <w:p>
      <w:r>
        <w:t>GE Cour de justice, 2022-05-16, FR</w:t>
      </w:r>
    </w:p>
    <w:p>
      <w:r>
        <w:rPr>
          <w:b/>
        </w:rPr>
        <w:t xml:space="preserve">Quelle: </w:t>
      </w:r>
      <w:r>
        <w:t>https://mcp.opencaselaw.ch/entscheid/ge_gerichte_JTAPI_508_2022</w:t>
      </w:r>
    </w:p>
    <w:p>
      <w:r>
        <w:t>FR: GE_GERICHTE JTAPI/508/2022 du 16 mai 2022</w:t>
      </w:r>
    </w:p>
    <w:p>
      <w:r>
        <w:t>IT: GE_GERICHTE JTAPI/508/2022 del 16 maggio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par le destinataire de la décision querellée,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- 5/10 - A/4162/2021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5</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6</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7</w:t>
      </w:r>
    </w:p>
    <w:p>
      <w:r>
        <w:t>Pour déterminer la durée et s’il y a lieu de prononcer un retrait d’admonestation, la LCR distingue les infractions légères, moyennement graves et graves (art. 16a à 16c LCR).</w:t>
      </w:r>
    </w:p>
    <w:p>
      <w:r>
        <w:rPr>
          <w:b/>
        </w:rPr>
        <w:t>E. 8</w:t>
      </w:r>
    </w:p>
    <w:p>
      <w:r>
        <w:t>En vertu de l’art. 16c al. 1 let. f LCR, commet une infraction grave, sans égard aux circonstances dans lesquelles celle-ci a été commise (cf. arrêt du Tribunal fédéral 1C_414/2019 du 28 août 2019 consid. 2), la personne qui conduit un véhicule automobile alors que le permis de conduire lui a été retiré.</w:t>
      </w:r>
    </w:p>
    <w:p>
      <w:r>
        <w:rPr>
          <w:b/>
        </w:rPr>
        <w:t>E. 9</w:t>
      </w:r>
    </w:p>
    <w:p>
      <w:r>
        <w:t>Après une infraction grave, le permis d’élève conducteur ou le permis de conduire est retiré pour six mois au minimum si, au cours des cinq années précédentes, le permis a été retiré une fois en raison d’une infraction moyennement grave (art. 16c al. 2 let. b LCR).</w:t>
      </w:r>
    </w:p>
    <w:p>
      <w:r>
        <w:rPr>
          <w:b/>
        </w:rPr>
        <w:t>E. 10</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w:t>
      </w:r>
    </w:p>
    <w:p>
      <w:r>
        <w:t>- 6/10 - A/4162/2021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11</w:t>
      </w:r>
    </w:p>
    <w:p>
      <w:r>
        <w:t>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w:t>
      </w:r>
    </w:p>
    <w:p>
      <w:r>
        <w:rPr>
          <w:b/>
        </w:rPr>
        <w:t>E. 12</w:t>
      </w:r>
    </w:p>
    <w:p>
      <w:r>
        <w:t>Le droit suisse prévoit que l'usage d'un permis étranger peut être interdit en vertu des dispositions qui s'appliquent au retrait du permis de conduire suisse (art. 45 al. 1 OAC ; cf. ATA/390/2018 du 24 avril 2018 consid. 3b). Les règles et principes énoncés ci-dessus sont donc applicables mutatis mutandis à l'interdiction de faire usage du permis de conduire étranger, notamment français, sur le territoire suisse.</w:t>
      </w:r>
    </w:p>
    <w:p>
      <w:r>
        <w:rPr>
          <w:b/>
        </w:rPr>
        <w:t>E. 13</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w:t>
      </w:r>
    </w:p>
    <w:p>
      <w:r>
        <w:rPr>
          <w:b/>
        </w:rPr>
        <w:t>E. 14</w:t>
      </w:r>
    </w:p>
    <w:p>
      <w:r>
        <w:t>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w:t>
      </w:r>
    </w:p>
    <w:p>
      <w:r>
        <w:t>- 7/10 - A/4162/2021 qu’elle se rattache à l’appréciation du juge pénal si celle-ci est soutenable, même si elle-même aurait apprécié la faute différemment (arrêt du Tribunal fédéral 1C_424/2012 du 15 janvier 2015).</w:t>
      </w:r>
    </w:p>
    <w:p>
      <w:r>
        <w:rPr>
          <w:b/>
        </w:rPr>
        <w:t>E. 15</w:t>
      </w:r>
    </w:p>
    <w:p>
      <w:r>
        <w:t>Le recourant fait valoir qu’il n'a pas reçu la décision du 12 juillet 2021, de sorte qu'une conduite, le 27 septembre 2021, malgré une interdiction de faire usage de son permis de conduire ne peut pas lui être reprochée. Il se fonde également sur l'ordonnance de non entrée en matière du Ministère public du 9 novembre 2021, lequel a considéré qu'il n'avait pas eu une connaissance effective de la décision du 12 juillet 2021 de sorte que l'infraction en question ne pouvait pas lui être reprochée.</w:t>
      </w:r>
    </w:p>
    <w:p>
      <w:r>
        <w:rPr>
          <w:b/>
        </w:rPr>
        <w:t>E. 16</w:t>
      </w:r>
    </w:p>
    <w:p>
      <w:r>
        <w:t>Selon l'art. 62 al. 4 LPA, la décision qui n’est remise que contre la signature du destinataire ou d’un tiers habilité est réputée reçue au plus tard sept jours après la première tentative infructueuse de distribution.</w:t>
      </w:r>
    </w:p>
    <w:p>
      <w:r>
        <w:rPr>
          <w:b/>
        </w:rPr>
        <w:t>E. 17</w:t>
      </w:r>
    </w:p>
    <w:p>
      <w:r>
        <w:t>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(arrêt du Tribunal fédéral 8C_754/2018 du 7 mars 2019 consid. 7. 2.1 ; Thierry TANQUEREL, Manuel de droit administratif, 2ème édit. 2018, n° 1570 ; Stéphane GRODECKI/Romain JORDAN, Code annoté de procédure administrative genevoise, 2017, n° 297 ad art. 17 LPA; Pierre MOOR/Étienne POLTIER, Droit administratif, vol. II, 3e éd. 2011, p. 352). Il n'est donc pas nécessaire que le destinataire ait personnellement en main la décision en cause, encore moins qu'il en prenne effectivement connaissance (ATF 142 III 599 consid. 2.4.1 p. 603; 109 Ia 15 consid. 4 p. 18).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 130 III 396 consid. 1.2.3 p. 399; arrêt du Tribunal fédéral 1C_171/2011 du 26 mai 2011). Cette fiction de notification ne s’applique cependant que si son destinataire devait s’attendre, avec une certaine vraisemblance, à recevoir une communication des autorités, ce qui est le cas chaque fois qu’il est partie à une procédure pendante (ATF 139 IV 228 consid. 1.1 ; 137 III 208 consid. 3.1.2). Elle suppose en outre que l’avis de retrait a été déposé dans la boîte aux lettres ou la case postale du destinataire et qu’il soit arrivé par conséquent dans sa sphère privée (ATF 116 III 59 consid. 1b).</w:t>
      </w:r>
    </w:p>
    <w:p>
      <w:r>
        <w:t>- 8/10 - A/4162/2021 Ainsi,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(Cédric MIZEL, Droit et pratique illustrée du retrait du permis de conduire, 2015, p. 510).</w:t>
      </w:r>
    </w:p>
    <w:p>
      <w:r>
        <w:rPr>
          <w:b/>
        </w:rPr>
        <w:t>E. 18</w:t>
      </w:r>
    </w:p>
    <w:p>
      <w:r>
        <w:t>En l'espèce, il ressort du dossier transmis au tribunal qu'après avoir été sanctionné pour le dépassement de la vitesse maximale autorisée du 3 février 2021, par ordonnance pénale du SDC du 8 juin 2021, notifiée à l'adresse du recourant, celui- ci a été informé le 14 juin 2021 par courrier de l'OCV envoyé à l'adresse qui correspondait à celle figurant sur l'ordonnance pénale précitée, qu'une mesure administrative pouvait être prononcée à son encontre et qu'il pouvait exercer son droit d'être entendu par écrit à ce sujet, ce qu'il a précisément fait par courriel adressé à l'OCV le 22 juin 2021 (sans toutefois annoncer qu'il avait le projet de déménager ni indiquer sa nouvelle adresse). Il doit partant être tenu pour établi que le recourant devait s'attendre au prononcé d'une mesure administrative de la part de l'OCV. Dans le présent cas, il ressort du suivi postal relatif à l’envoi recommandé contenant la décision du 12 juillet 2021 que le recourant, a été avisé par la Poste, en date du 20 juillet 2021, pour retrait de ce courrier. Le pli recommandé n’ayant pas été retiré dans le délai de garde, celui-ci est donc réputé lui avoir été notifié à l'échéance du délai de garde, la fiction de notification pouvant lui être opposée.</w:t>
      </w:r>
    </w:p>
    <w:p>
      <w:r>
        <w:t>Dans ces circonstances, quand bien même le juge pénal est parvenu à une conclusion juridique différente, et compte tenu du fait que le juge administratif n'est pas lié par le jugement pénal pour les questions de droit, il y a lieu de considérer, que c'est à juste titre que l'OCV a retenu que le recourant ne s'est pas soumis à une décision d'interdiction de faire usage de son permis de conduire étranger sur le territoire suisse le 27 septembre 2021 et que se faisant il a commis une infraction grave (art. 16c al. 1 let. f LCR précité).</w:t>
      </w:r>
    </w:p>
    <w:p>
      <w:r>
        <w:t>Dans ces conditions, compte tenu de l'antécédent du recourant, la mesure prononcée par l’OCV, qui correspond à la durée minimale incompressible prescrite par l’art. 16c al. 2 let. b LCR (six mois), ne prête pas le flanc à la critique. Étant liée par cette durée, l'autorité intimée a correctement appliqué la loi et n'a pas excédé ou abusé de son pouvoir d'appréciation.</w:t>
      </w:r>
    </w:p>
    <w:p>
      <w:r>
        <w:t>Dès lors, sa décision ne peut qu’être confirmée.</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w:t>
      </w:r>
    </w:p>
    <w:p>
      <w:r>
        <w:t>- 9/10 - A/4162/2021 suite du dépôt du recours. Vu l’issue du litige, aucune indemnité de procédure ne sera allouée (art. 87 al. 2 LPA).</w:t>
      </w:r>
    </w:p>
    <w:p>
      <w:r>
        <w:t>- 10/10 - A/4162/2021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