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JTAPI/506/2024 vom 29. Januar 2020</w:t>
      </w:r>
    </w:p>
    <w:p>
      <w:r>
        <w:t>GE Cour de justice, 2020-01-29, FR</w:t>
      </w:r>
    </w:p>
    <w:p>
      <w:r>
        <w:rPr>
          <w:b/>
        </w:rPr>
        <w:t xml:space="preserve">Quelle: </w:t>
      </w:r>
      <w:r>
        <w:t>https://mcp.opencaselaw.ch/entscheid/ge_gerichte_JTAPI_506_2024</w:t>
      </w:r>
    </w:p>
    <w:p>
      <w:r>
        <w:t>FR: GE_GERICHTE JTAPI/506/2024 du 29 janvier 2020</w:t>
      </w:r>
    </w:p>
    <w:p>
      <w:r>
        <w:t>IT: GE_GERICHTE JTAPI/506/2024 del 29 gennaio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w:t>
      </w:r>
    </w:p>
    <w:p>
      <w:r>
        <w:t>- 4/7 - A/1740/2024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23 mai 2024 à 16h00.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4</w:t>
      </w:r>
    </w:p>
    <w:p>
      <w:r>
        <w:t>À teneur de l'art. 76 al. 1 let. b ch. 1 LEI (cum art. 75 al. 1 let. c LEI), après notification d'une décision de première instance de renvoi ou d'une décision de première instance d'expulsion au sens des art. 66a ou 66a bis CP,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 bis CP vaut comme interdiction d'entrée pour la durée prononcée par le juge pénal (ATA/615/2022 du</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l'espèce, compte tenu du fait que M. A______ n’a pas respecté la mesure d’expulsion prononcée contre lui en revenant sans droit en Suisse, on ne voit pas pour quelles raisons, s’il était remis en liberté, il respecterait davantage cette mesure, de sorte que sa détention administrative paraît être le seul moyen d’assurer sa nouvelle expulsion vers son pays d’origine. Les autorités suisses ont par ailleurs agi avec toute la diligence possible dès lors qu'elles ont immédiatement procédé aux démarches utiles en vue de l'obtention d'un laissez-passer de la part des autorités albanaises, dont la réponse est désormais attendue d'ici une dizaine de jours.</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13</w:t>
      </w:r>
    </w:p>
    <w:p>
      <w:r>
        <w:t>Compte tenu des circonstances, il se justifie de confirmer la détention administrative de M. A______ pour une durée d'un mois, qui respecte le cadre légal fixé par l'art. 79 al. 1 LEI et n'apparaît pas d'emblée inadéquate ou excessive. Il sera par ailleurs rappelé à l'intéressé que s'il remettait rapidement son passeport en cours de validité aux autorités compétentes, la réservation d'une place sur un vol à destination de son pays pourrait être entreprise dans les meilleurs délais et le renvoi avoir lieu avant cette échéance. La portée d'une telle durée apparaît ainsi relative.</w:t>
      </w:r>
    </w:p>
    <w:p>
      <w:r>
        <w:rPr>
          <w:b/>
        </w:rPr>
        <w:t>E. 14</w:t>
      </w:r>
    </w:p>
    <w:p>
      <w:r>
        <w:t>Au vu de ce qui précède, il y a lieu de confirmer l'ordre de mise en détention administrative de M. A______ pour une durée d'un mois.</w:t>
      </w:r>
    </w:p>
    <w:p>
      <w:r>
        <w:rPr>
          <w:b/>
        </w:rPr>
        <w:t>E. 15</w:t>
      </w:r>
    </w:p>
    <w:p>
      <w:r>
        <w:t>Conformément à l'art. 9 al. 6 LaLEtr, le présent jugement sera communiqué à M. A______, à son avocat et au commissaire de police. En vertu des art. 89 al. 2 et 111</w:t>
      </w:r>
    </w:p>
    <w:p>
      <w:r>
        <w:t>- 6/7 - A/1740/2024 al. 2 de la loi sur le Tribunal fédéral du 17 juin 2005 (LTF - RS 173.110), il sera en outre communiqué au secrétariat d'État aux migrations.</w:t>
      </w:r>
    </w:p>
    <w:p>
      <w:r>
        <w:t>- 7/7 - A/1740/2024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