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JTAPI/500/2022 vom 12. Mai 2022</w:t>
      </w:r>
    </w:p>
    <w:p>
      <w:r>
        <w:t>GE Cour de justice, 2022-05-12, FR</w:t>
      </w:r>
    </w:p>
    <w:p>
      <w:r>
        <w:rPr>
          <w:b/>
        </w:rPr>
        <w:t xml:space="preserve">Quelle: </w:t>
      </w:r>
      <w:r>
        <w:t>https://mcp.opencaselaw.ch/entscheid/ge_gerichte_JTAPI_500_2022</w:t>
      </w:r>
    </w:p>
    <w:p>
      <w:r>
        <w:t>FR: GE_GERICHTE JTAPI/500/2022 du 12 mai 2022</w:t>
      </w:r>
    </w:p>
    <w:p>
      <w:r>
        <w:t>IT: GE_GERICHTE JTAPI/500/2022 del 12 maggio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Interjetés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encore que ses auteurs disposent de la qualité pour recourir.</w:t>
      </w:r>
    </w:p>
    <w:p>
      <w:r>
        <w:rPr>
          <w:b/>
        </w:rPr>
        <w:t>E. 4</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t>- 10/25 - A/3122/2021</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 La qualité pour recourir peut également être donnée en l’absence de voisinage direct, quand une distance relativement faible sépare l’immeuble des recourants de l’installation litigieuse (ATF 121 II 171 consid. 2b ; ATA/790/2012 du 20 novembre 2012). La qualité pour recourir a ainsi été admise pour des distances variant entre 25 et 150 m (ATA/66/2012 du 31 janvier 2012 ; ATA/793/2005 du 22 novembre 2005 consid. 2c et la jurisprudence citée). Elle a en revanche été déniée dans des cas où cette distance était de 800, respectivement 600, 220, 200, voire 150 m (arrêt du Tribunal Fédéral 1A.47/2002 du 16 avril 2002 consid. 3.1 ; ATA/25/2007 du 23 janvier 2007 et les références citées).</w:t>
      </w:r>
    </w:p>
    <w:p>
      <w:r>
        <w:rPr>
          <w:b/>
        </w:rPr>
        <w:t>E. 6</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(cf. ATF 125 I 173 consid. 1b ; arrêts du Tribunal fédéral 1C_469/ 2014 du 24 avril 2015 consid. 2.2 ; 1C_453/2014 du 23 février 2015 consid. 4.2 et 4.3).</w:t>
      </w:r>
    </w:p>
    <w:p>
      <w:r>
        <w:rPr>
          <w:b/>
        </w:rPr>
        <w:t>E. 7</w:t>
      </w:r>
    </w:p>
    <w:p>
      <w:r>
        <w:t>L’admission de la qualité pour recourir ne signifie pas encore que toutes les conclusions, respectivement griefs, formulés par un recourant sont recevables. En effet, le voisin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rPr>
          <w:b/>
        </w:rPr>
        <w:t>E. 8</w:t>
      </w:r>
    </w:p>
    <w:p>
      <w:r>
        <w:t>Enfin, il n’appartient pas à l’administration de s’immiscer dans les conflits de droit privé pouvant s’élever entre un requérant et un opposant, la législation genevoise en matière de police des constructions ayant pour seul but d’assurer la conformité du projet présenté avec les prescriptions en matière de construction et d’aménagement intérieurs et extérieurs des bâtiments et des installations. Elle réserve expressément le droit des tiers (art. 3 al. 6 LCI ; ATA/439/2021 du 20 avril 2021 consid. 8c ; ATA/307/2021 du 9 mars 2021 consid. 4a).</w:t>
      </w:r>
    </w:p>
    <w:p>
      <w:r>
        <w:t>- 11/25 - A/3122/2021</w:t>
      </w:r>
    </w:p>
    <w:p>
      <w:r>
        <w:rPr>
          <w:b/>
        </w:rPr>
        <w:t>E. 9</w:t>
      </w:r>
    </w:p>
    <w:p>
      <w:r>
        <w:t>En l'espèce, les recourants fondent leur qualité pour recourir sur la proximité de leurs parcelles avec celles visées par l'autorisation querellée. Il ressort de la consultation du système d’information du territoire à Genève (ci-après: SITG) que les parcelles des recourants jouxtent immédiatement celle où se situe l'essentiel de la construction litigieuse, soit la parcelle n° 2______, leurs maisons se trouvant à une distance de moins de 50 m du bâtiment projeté. Ainsi, il apparait vraisemblable qu'ils subiront personnellement d'éventuelles nuisances liées au projet, à tout le moins en termes de bruit et d'ensoleillement. À l'appui de leur recours, ils font grief au département d'avoir violé les art. 26 LaLAT, 32 al. 3 LCI, et 14 LCI, relevant en substance qu'il n'existait pas de circonstances particulières justifiant l'octroi de la dérogation à l'art. 26 al. 2 LaLAT, que le gabarit de la construction prévues dépasserait les limites fixées par la LCI, que le calcul des surfaces du projet serait erroné en tant qu'il prendrait en compte la parcelle n° 4______, que de graves inconvénients au voisinage en termes d'accès, de trafic et de sécurité, compte-tenu du caractère résidentiel du quartier, résulteraient du projet, et que celui-ci présenterait des risques hydrogéologiques, sans s'intégrer dans son environnement. Les recourants se prévalent ainsi de dispositions de droit public des constructions ayant trait à l'implantation du projet. L'admission de ces griefs est susceptible d’avoir une incidence concrète sur leur situation de fait.</w:t>
      </w:r>
    </w:p>
    <w:p>
      <w:r>
        <w:t>En revanche, s'agissant du grief relatif à l'insuffisance du nombre de places de stationnement, si le Tribunal fédéral a admis que des voisins étaient légitimés à faire valoir un tel grief, encore fallait-il qu’ils puissent se plaindre d’inconvénients concrets et les touchant directement dans ce contexte pour se voir reconnaître la qualité pour recourir au sens de la jurisprudence précitée, ce qu’il a admis dans l’espèce en question, les voisins exposant que l'insuffisance du nombre de places de parc entraînerait un risque de parcage sur leur propre fonds, étant précisé que la qualité pour recourir leur était déjà été reconnue en lien avec leurs griefs concernant l'esthétique du bâtiment et les façades nord de celui-ci, parfaitement visibles depuis leur bien-fonds (arrêt du tribunal fédéral 1C_639/2012 du 23 avril 2013). En l'espèce, les recourants relèvent qu'il manquerait un tiers des places de stationnement nécessaires pour les habitants, qu'il n'y aurait pas de place prévue pour les salariés des locaux d'activités, ni de place de dépose minute et qu'aucune dérogation au nombre de place de stationnement ne serait mentionnée dans le dossier. Combinés, ces éléments auraient pour effet, selon les termes des recourants, une « perte de maîtrise sur le trafic du quartier » entraînant stationnements sauvages et recherches de places de stationnement, ainsi que des problématiques inhérentes à l'utilisation de véhicules à moteur contraires à l'objectif de limitation du trafic et du stationnement dans cette zone selon le PDCom. Ce faisant, les recourants se contentent d'une argumentation générale, sans expliquer en quoi cette prétendue insuffisance de places de stationnement leur causerait directement des inconvénients concrets les touchant plus que</w:t>
      </w:r>
    </w:p>
    <w:p>
      <w:r>
        <w:t>- 12/25 - A/3122/2021 quiconque dans leur situation factuelle ou juridique. Au demeurant, force est de constater que les explications des recourants ne sont que de simples hypothèses, non démontrées.</w:t>
      </w:r>
    </w:p>
    <w:p>
      <w:r>
        <w:t>Ainsi, si les recourants disposent de la qualité pour recourir au sujet de leurs autres griefs, force est d'admettre qu'ils ne peuvent se prévaloir en l'espèce d'un manque de places de stationnement, faute d'intérêt digne de protection.</w:t>
      </w:r>
    </w:p>
    <w:p>
      <w:r>
        <w:rPr>
          <w:b/>
        </w:rPr>
        <w:t>E. 10</w:t>
      </w:r>
    </w:p>
    <w:p>
      <w:r>
        <w:t>Les recourants concluent préalablement à un transport sur place, à une expertise indépendante portant sur les conséquences hydrogéologiques du projet et l'efficacité des mesures préconisées par l'OCEau dans son préavis du 19 mai 2021, et à l'établissement d'un constat des avoisinants portant sur l'état de leurs propriétés avant le début des travaux.</w:t>
      </w:r>
    </w:p>
    <w:p>
      <w:r>
        <w:rPr>
          <w:b/>
        </w:rPr>
        <w:t>E. 11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12</w:t>
      </w:r>
    </w:p>
    <w:p>
      <w:r>
        <w:t>Par ailleurs, le droit d'être entendu ne comprend pas celui d'être entendu oralement (cf.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ni à la tenue d'une inspection locale, en l'absence d'une disposition cantonale qui imposerait une telle mesure d'instruction, ce qui n'est pas le cas à Genève (ATF 120 Ib 224 consid. 2b ; 112 Ia 198 consid. 2b ; arrêts du Tribunal fédéral 1C_243/2013 du 27 septembre 2013 consid. 3.2.1).</w:t>
      </w:r>
    </w:p>
    <w:p>
      <w:r>
        <w:t>- 13/25 - A/3122/2021</w:t>
      </w:r>
    </w:p>
    <w:p>
      <w:r>
        <w:rPr>
          <w:b/>
        </w:rPr>
        <w:t>E. 13</w:t>
      </w:r>
    </w:p>
    <w:p>
      <w:r>
        <w:t>En l'espèce, les plans détaillés figurant à la procédure et la consultation des outils topographiques publiquement accessibles sur le SITG suffisent amplement pour examiner si, comme le font valoir les recourants, le projet serait contraire à l’harmonie du quartier et générerait des nuisances. Les recourants ne prétendent au demeurant pas que les plans ou les données du SITG seraient inexacts. Un transport sur place ne serait ainsi pas de nature à apporter des éléments nouveaux au dossier ce d'autant plus que plusieurs instances de préavis, notamment le SPI, ont préavisé favorablement le projet en relevant l'intégration réussie du projet dans son environnement. S'agissant de l'expertise, celle-ci est demandée afin de mesurer les conséquences hydrogéologiques du projet et de mesurer l'efficacité des mesures préconisées par l'OCEau dans son préavis du 19 mai 2021. Or, hormis le fait qu'ils jugent que les solutions recommandées par l'OCEau ne sont pas les plus adéquates, rien n'amène à penser que l'examen fait par cette instance spécialisée serait lacunaire ou manifestement infondé. Au demeurant, ils ne font qu'évoquer l'existence d'un danger, sans le démontrer, ce qui est insuffisant pour remettre en question l'appréciation faite par l'autorité spécialisée (ATA/1335/2019 du 3 septembre 2019 consid. 8). Dans ces circonstances, force est d'admettre que les recourants se contentent de substituer leur propre appréciation à celle de l'autorité spécialisée. Concernant le constat des avoisinants, il convient de relever que l'intimée s'est engagée, dans sa réponse au recours, à effectuer un constat d'huissiers des bâtiments des parcelles contiguës au projet avant tout commencement des travaux, ce qui rend inutile la production d'un tel document à ce stade de la procédure. Les mesures d'instruction complémentaires sollicitées, en soi non obligatoires, sont donc rejetées.</w:t>
      </w:r>
    </w:p>
    <w:p>
      <w:r>
        <w:rPr>
          <w:b/>
        </w:rPr>
        <w:t>E. 14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 T. TANQUEREL, Manuel de droit administratif, 2011, n. 515 p. 171).</w:t>
      </w:r>
    </w:p>
    <w:p>
      <w:r>
        <w:rPr>
          <w:b/>
        </w:rPr>
        <w:t>E. 15</w:t>
      </w:r>
    </w:p>
    <w:p>
      <w:r>
        <w:t>Les arguments formulés par les parties à l'appui de leurs conclusions respectives, ainsi que les pièces qu'elles ont produites, seront repris et discutés dans la mesure</w:t>
      </w:r>
    </w:p>
    <w:p>
      <w:r>
        <w:t>- 14/25 - A/3122/2021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ATA/117/2016 du 9 février 2016 consid. 2 ; ATA/723/2015 du 14 juillet 2015 consid. 4a ; ATA/585/2015 du 9 juin 2015 ; ATA/285/2013 du 7 mai 2013).</w:t>
      </w:r>
    </w:p>
    <w:p>
      <w:r>
        <w:rPr>
          <w:b/>
        </w:rPr>
        <w:t>E. 16</w:t>
      </w:r>
    </w:p>
    <w:p>
      <w:r>
        <w:t>Selon le système prévu par la LCI, les préavis des communes, des départements et organismes intéressés n'ont qu'un caractère consultatif. L’autorité de décision, qui n’est pas liée par ces préavis, reste libre de s’en écarter pour des motifs pertinents et en raison d’un intérêt public supérieur (art. 3 al. 3 LCI ; ATA/873/2018 du 28 août 2018 consid. 6b ; ATA/659/2017 du 13 juin 2017 consid. 4b ; ATA/318/2017 du 21 mars 2017 consid. 8c ; ATA/699/2015 du 30 juin 2015 ; ATA/51/2013 du</w:t>
      </w:r>
    </w:p>
    <w:p>
      <w:r>
        <w:rPr>
          <w:b/>
        </w:rPr>
        <w:t>E. 21</w:t>
      </w:r>
    </w:p>
    <w:p>
      <w:r>
        <w:t>Conformément à l'art. 19 al. 3 LaLAT, la 5e zone est une zone résidentielle destinée aux villas ; des exploitations agricoles peuvent également y trouver place. Le propriétaire, l'ayant droit ou le locataire d'une villa peut, à condition que celle- ci constitue sa résidence principale, utiliser une partie de cette villa aux fins d'y exercer des activités professionnelles, pour autant qu'elles n'entraînent pas de nuisances graves pour le voisinage.</w:t>
      </w:r>
    </w:p>
    <w:p>
      <w:r>
        <w:rPr>
          <w:b/>
        </w:rPr>
        <w:t>E. 22</w:t>
      </w:r>
    </w:p>
    <w:p>
      <w:r>
        <w:t>À Genève, la 4ème zone est destinée principalement aux maisons d’habitation, comportant en principe plusieurs logements. Elle est divisée en deux classes : la 4ème zone urbaine (4ème zone A) et la 4ème zone rurale (4ème zone B), applicable aux villages et aux hameaux (art. 19 al. 2 LaLAT), laquelle fait, pour sa protection, l’objet de dispositions particulières incluses dans la LCI (art. 28 LaLAT ; ATA/13/2016 du 12 janvier 2016 consid. 3).</w:t>
      </w:r>
    </w:p>
    <w:p>
      <w:r>
        <w:rPr>
          <w:b/>
        </w:rPr>
        <w:t>E. 23</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rPr>
          <w:b/>
        </w:rPr>
        <w:t>E. 24</w:t>
      </w:r>
    </w:p>
    <w:p>
      <w:r>
        <w:t>La LCI définit le régime concret applicable aux villages protégés, dont le but est la conservation de l'harmonie et de l'identité du secteur, notamment par le biais de règles sur les alignements, les gabarits et les couleurs (cf. ATA/417/2019 du 9 avril 2019 consid. 8 et l'arrêt cité ; ATA/13/2016 du 12 janvier 2016 consid. 5a ; Lucien LAZZAROTTO, « La protection du patrimoine », in Bénédict FOËX/Michel HOTTELIER [éd.], La garantie de la propriété à l'aube du XXIème siècle, 2009, p. 113). L’aménagement et le caractère architectural d’un village à protéger doivent être préservés (ATA/305/2012 du 15 mai 2012 ; ATA/232/2006 du 5 mai 2006).</w:t>
      </w:r>
    </w:p>
    <w:p>
      <w:r>
        <w:rPr>
          <w:b/>
        </w:rPr>
        <w:t>E. 25</w:t>
      </w:r>
    </w:p>
    <w:p>
      <w:r>
        <w:t>Lorsque les circonstances le justifient et s'il n'en résulte pas d'inconvénients graves pour le voisinage, le département peut déroger aux dispositions des art. 18 et 19 LCI quant à la nature des constructions (art. 26 al. 1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(art. 26 al. 2 LaLAT). Cette dérogation n’entraîne pas de modification des limites de zones (art. 26 al. 3 LaLAT).</w:t>
      </w:r>
    </w:p>
    <w:p>
      <w:r>
        <w:t>- 16/25 - A/3122/2021</w:t>
      </w:r>
    </w:p>
    <w:p>
      <w:r>
        <w:rPr>
          <w:b/>
        </w:rPr>
        <w:t>E. 26</w:t>
      </w:r>
    </w:p>
    <w:p>
      <w:r>
        <w:t>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(ATA/1460/2017 du 31 octobre 2017 ; ATA/318/2017 du 21 mars 2017 consid. 6b et les références citées). Les circonstances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(ATA/318/2017 précité consid. 6b et les références citées).</w:t>
      </w:r>
    </w:p>
    <w:p>
      <w:r>
        <w:rPr>
          <w:b/>
        </w:rPr>
        <w:t>E. 27</w:t>
      </w:r>
    </w:p>
    <w:p>
      <w:r>
        <w:t>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(ATA/318/2017 précité consid. 6b et les références citées).</w:t>
      </w:r>
    </w:p>
    <w:p>
      <w:r>
        <w:rPr>
          <w:b/>
        </w:rPr>
        <w:t>E. 28</w:t>
      </w:r>
    </w:p>
    <w:p>
      <w:r>
        <w:t>Selon la jurisprudence, il convient d’adopter une interprétation restrictive de l’art. 26 al. 1 LaLAT, en tout cas lorsque l’on entend l’appliquer à la zone 5. En effet, la condition de l’absence d’inconvénients graves pour le voisinage est identique à celle qui est posée pour la tolérance d’activités professionnelles dans une partie d’une habitation (art. 19 al. 3 2ème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(ATA/653/2021 du 22 juin 2021 consid. 6e ; ATA/824/2015 du 11 août 2015 consid. 12c ; ATA/1019/2014 16 décembre 2014 consid. 8d et les références citées).</w:t>
      </w:r>
    </w:p>
    <w:p>
      <w:r>
        <w:rPr>
          <w:b/>
        </w:rPr>
        <w:t>E. 29</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Ainsi, cette disposition accorde au département un large pouvoir</w:t>
      </w:r>
    </w:p>
    <w:p>
      <w:r>
        <w:t>- 17/25 - A/3122/2021 d'appréciation que le juge ne peut revoir qu'en cas d'excès ou d'abus, ou de constatation inexacte ou incomplète des faits pertinents (art. 61 al. 1 et 2 LPA) (ATA/318/2017 précité consid. 6d et les références citées).</w:t>
      </w:r>
    </w:p>
    <w:p>
      <w:r>
        <w:rPr>
          <w:b/>
        </w:rPr>
        <w:t>E. 30</w:t>
      </w:r>
    </w:p>
    <w:p>
      <w:r>
        <w:t>Dans une affaire genevoise, le Tribunal fédéral a considéré qu’un projet de construction de deux immeubles de neuf logements chacun, en zone 5, n’entraînait aucune dérogation à la nature des constructions, puisque celles-ci étaient exclusivement vouées à l’habitation. La dérogation tendait à faire bénéficier ledit projet des règles de construction plus généreuses de la zone 4B protégée adjacente. Il a laissé la question ouverte de savoir si seules les conditions de l’art. 26 al. 2 LaLAT devaient être remplies ou si celles posées à l’art. 26 al. 1 LaLAT devaient l’être aussi, au motif que l’octroi d’une dérogation supposait une situation exceptionnelle, à défaut de quoi l’autorité compétente pour délivrer les autorisations de construire se substituerait au législateur cantonal ou communal par le biais de sa pratique dérogatoire. Dès lors, il n’était pas arbitraire de subordonner l’application de l’art. 26 al. 2 LaLAT à l’existence de circonstances particulières et à l’absence d’intérêts privés ou public opposés. Le Tribunal fédéral a par ailleurs précisé que la chambre administrative de la Cour de justice (ci-après: la chambre administrative) pouvait de manière soutenable voir une telle circonstance dans le fait que les constructions projetées s'inscrivaient dans un ensemble plus vaste, avec l'immeuble prévu sur la parcelle voisine, qui s'intégrait au quartier composé de petits immeubles à l'Est et de villas à l'Ouest et qui avait obtenu l'aval de la CU. En outre, la construction de deux immeubles de neuf logements chacun en lieu et place des villas qui auraient pu être édifiées en conformité avec la destination de la zone villa allait dans le sens poursuivi par le législateur lorsqu'il avait adopté l'art. 26 al. 2 LaLAT et constituait un intérêt public important dont la chambre administrative pouvait sans arbitraire tenir en compte dans la pesée des intérêts en présence, même si elle ne constituait pas en soi une circonstance particulière propre à justifier une dérogation (arrêt du Tribunal fédéral 1C_81/2015 du 3 juin 2015 consid. 2.4).</w:t>
      </w:r>
    </w:p>
    <w:p>
      <w:r>
        <w:rPr>
          <w:b/>
        </w:rPr>
        <w:t>E. 31</w:t>
      </w:r>
    </w:p>
    <w:p>
      <w:r>
        <w:t>En ce qui concerne l'absence d'inconvénients graves, cette règle rejoint celle de l'art. 14 al. 1 let. a LCI, qui permet au département de refuser une autorisation lorsqu'une construction ou une installation peut être la cause d'inconvénients graves pour les usagers, le voisinage ou le public.</w:t>
      </w:r>
    </w:p>
    <w:p>
      <w:r>
        <w:rPr>
          <w:b/>
        </w:rPr>
        <w:t>E. 32</w:t>
      </w:r>
    </w:p>
    <w:p>
      <w:r>
        <w:t>La notion d'inconvénients graves visée par cette disposition est également une notion juridique indéterminée qui laisse à l'autorité une liberté d'appréciation et n'est limitée que par l'excès ou l'abus de pouvoir (ATA/126/2013 précité ; ATA/723/2010 du 19 octobre 2010 ; ATA/441/2006 du 31 août 2006). Le pouvoir d'examen du tribunal s'exerce dans les limites précitées sous réserve du respect du principe de proportionnalité en cas de refus malgré un préavis favorable, et de l'intérêt public en cas d'octroi d'une autorisation (ATA/723/2010 du 19 octobre 2010 ; ATA/619/2007 du 4 décembre 2007 ; ATA/105/2006 du 17 mars 2006).</w:t>
      </w:r>
    </w:p>
    <w:p>
      <w:r>
        <w:t>- 18/25 - A/3122/2021</w:t>
      </w:r>
    </w:p>
    <w:p>
      <w:r>
        <w:rPr>
          <w:b/>
        </w:rPr>
        <w:t>E. 33</w:t>
      </w:r>
    </w:p>
    <w:p>
      <w:r>
        <w:t>Les normes de protection, tel l'art. 14 LCI, sont destinées à sauvegarder les particularités de chaque zone, en prohibant les inconvénients incompatibles avec le caractère d'une zone déterminée;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(ATA/726/2012 du 30 octobre 2012; ATA/330/2009 du 30 juin 2009; ATA/649/2002 du 5 novembre 2002 et les arrêts cités).</w:t>
      </w:r>
    </w:p>
    <w:p>
      <w:r>
        <w:rPr>
          <w:b/>
        </w:rPr>
        <w:t>E. 34</w:t>
      </w:r>
    </w:p>
    <w:p>
      <w:r>
        <w:t>L'accroissement du trafic routier, s'il est raisonnable, ne crée pas une gêne durable au sens de la disposition légale précitée (ATA/306/2008 du 10 juin 2008 ; ATA/232/2006 du 2 mai 2006 et les références citées).</w:t>
      </w:r>
    </w:p>
    <w:p>
      <w:r>
        <w:rPr>
          <w:b/>
        </w:rPr>
        <w:t>E. 35</w:t>
      </w:r>
    </w:p>
    <w:p>
      <w:r>
        <w:t>En l'espèce, il ressort des éléments du dossier que les parcelles sur lesquelles se situent le projet litigieux, d'une surface de 4'444 m2 de SBP, sont situées à la fois en zone 5 et en zone 4B protégée. Aucune des parties ne conteste à juste titre que le projet se situe à cheval sur ces deux zones, de sorte que l'application de l'art. 26 al. 2 LaLAT est théoriquement possible. Le projet litigieux consiste en la construction d'un bâtiment de trente-cinq logements, d'une crèche et d'une salle paroissiale. L'octroi d'une dérogation selon l'art. 26 al. 2 LaLAT a été préavisé favorablement en date du 18 décembre 2020 par la CU et en date du 10 décembre 2020 par le SPI, lequel relevait en substance que le projet représentait un ensemble de qualité intégré dans le site et présentait un indice de densité cohérent. Par ailleurs, ce dernier notait qu'en accord avec la commune, la crèche, le jardin d'aventure et la salle paroissiale étaient regroupés sur la partie arrière de l'église, donnant ainsi plus de marge pour l'espace public qui les réunirait. En outre, l'octroi de ladite dérogation a été également préavisée favorablement par la DAC en date du 8 juillet 2021 et par la CMNS en date du 1er juin 2021. À cet égard, il convient de préciser qu'à l'occasion de son précédent préavis du 1er décembre 2021, la CMNS avait relevé que l'emprise bâtie de la construction projetée était située en zone 5, ajoutant que si l'octroi d'une telle dérogation était de la compétence de la CU, elle n'émettait pas d'objection à la densification de cette parcelle [n° 2______] au vu de la situation des parcelles adjacentes en vis-à-vis le long du K______ qui étaient situées en zone de développement 3 et vu que l'immeuble projeté se situerait plutôt en retrait de la zone 4B protégée. Force est donc de constater que, d'une part, l'autorité compétente, soit la CU, s'est déclarée favorable au projet et que d'autre part, l'examen de l'octroi de la dérogation résulte d'un examen complet et approfondi de la situation d'espèce. À cet égard, il apparait qu'à la lecture du préavis du SPI du 10 décembre 2020, le projet lié autorisé par la DD 2______ a été pris en compte dans le cadre de l'examen de l'intégration du projet litigieux dans le quartier. En effet, ledit préavis,</w:t>
      </w:r>
    </w:p>
    <w:p>
      <w:r>
        <w:t>- 19/25 - A/3122/2021 émis dans le cadre de la DD 1______, mentionne expressément le jardin d'aventure – objet de la DD 2______ – et précise que cette installation, la crèche et la salle paroissiale, seront reliées entre-elles par un espace public commun. Il est ainsi manifeste que l'examen de l'intégration du projet dans le quartier a été mené de manière approfondie et détaillée par les autorités compétentes pour l'octroi de la dérogation de l'art. 26 al. 2 LaLAT, en prenant aussi en compte que le projet litigieux se situe essentiellement sur de la zone villa, tel qu'il ressort du préavis de la CMNS du 1er décembre 2021. En outre, le projet tend notamment à offrir trente-cinq logements supplémentaires, soit un nombre plus important de logements que ne le permettrait l'application des normes de la zone 5, élément qui, s'il ne peut à lui seul justifier l'octroi d'une dérogation fondée sur l'art. 26 LaLAT pour justifier l'octroi d'une autorisation de construire, y compris en période de pénurie de logements, présente un intérêt public important qui doit être pris en compte dans le cas particulier. De même, il n'apparaît pas que les intérêts de la commune au développement du quartier seraient lésés par la construction du projet litigieux, au contraire, ce d'autant plus que la commune a préavisé favorablement le projet en date du 16 juin 2021 et n'a pas recouru contre l'autorisation de construire litigieuse. Le département, ayant en outre dûment consulté la CU avant d'accorder l'autorisation de construire litigieuse, n'a ainsi pas appliqué de manière arbitraire l'art. 26 al. 2 LaLAT lui permettant de délivrer l'autorisation de construire DD 1______ par la voie dérogatoire, liée à un projet de construction se révélant admissible compte tenu des circonstances. Enfin, comme il sera discuté plus loin, les recourants ne démontrent pas suffisamment en quoi la réalisation du projet litigieux engendrerait des nuisances ou des inconvénients graves pour le voisinage. Dans ces circonstances, en accordant la dérogation litigieuse, le département a suivi l'avis favorable des instances spécialisées et n'a ainsi pas mésusé de son pouvoir d'appréciation.</w:t>
      </w:r>
    </w:p>
    <w:p>
      <w:r>
        <w:rPr>
          <w:b/>
        </w:rPr>
        <w:t>E. 36</w:t>
      </w:r>
    </w:p>
    <w:p>
      <w:r>
        <w:t>Le grief est donc rejeté.</w:t>
      </w:r>
    </w:p>
    <w:p>
      <w:r>
        <w:rPr>
          <w:b/>
        </w:rPr>
        <w:t>E. 37</w:t>
      </w:r>
    </w:p>
    <w:p>
      <w:r>
        <w:t>Les recourants font ensuite valoir une violation de l'art. 32 al. 3 LCI dans la mesure où la ligne verticale du gabarit du projet dépasserait les 10 m.</w:t>
      </w:r>
    </w:p>
    <w:p>
      <w:r>
        <w:rPr>
          <w:b/>
        </w:rPr>
        <w:t>E. 38</w:t>
      </w:r>
    </w:p>
    <w:p>
      <w:r>
        <w:t>Pour la 4ème zone de construction, les questions du gabarit de hauteur des constructions et de distances aux limites de propriété sont réglées par les art. 31 ss LCI.</w:t>
      </w:r>
    </w:p>
    <w:p>
      <w:r>
        <w:rPr>
          <w:b/>
        </w:rPr>
        <w:t>E. 39</w:t>
      </w:r>
    </w:p>
    <w:p>
      <w:r>
        <w:t>Selon l'art. 31 al. 1 LCI, les constructions ne doivent en aucun cas dépasser un gabarit limité par un alignement et une ligne verticale de façade dont la hauteur est définie à l'art. 32 LCI. L'art. 32 al. 3 LCI précise que la hauteur de la ligne verticale du gabarit ne peut dépasser 15 m en zone urbaine et 10 mètres en zone rurale ; restent toutefois réservées les dispositions des articles 10 et 11 et celles des plans localisés de quartier au sens de la loi sur l’extension des voies de</w:t>
      </w:r>
    </w:p>
    <w:p>
      <w:r>
        <w:t>- 20/25 - A/3122/2021 communication et l’aménagement des quartiers ou localités, du 9 mars 1929, et de la loi générale sur les zones de développement, du 29 juin 1957 (H ≤ 15 ou H ≤ 10).</w:t>
      </w:r>
    </w:p>
    <w:p>
      <w:r>
        <w:rPr>
          <w:b/>
        </w:rPr>
        <w:t>E. 40</w:t>
      </w:r>
    </w:p>
    <w:p>
      <w:r>
        <w:t>Au sens de l'art. 21 al. 1 du règlement d'application de la loi sur les constructions et installations diverses du 27 février 1978 (RCI – L 5 05.01), dans les quatre premières zones, les constructions doivent s'inscrire dans un gabarit théorique défini par le gabarit mesuré conformément aux dispositions de la loi pour chaque zone et le gabarit de toiture défini à l'article 36 de la loi (voir croquis n° I, II et III).</w:t>
      </w:r>
    </w:p>
    <w:p>
      <w:r>
        <w:rPr>
          <w:b/>
        </w:rPr>
        <w:t>E. 41</w:t>
      </w:r>
    </w:p>
    <w:p>
      <w:r>
        <w:t>S'agissant du gabarit des constructions en zone villa, la hauteur de la ligne verticale du gabarit ne peut dépasser nulle part 10 mètres au niveau supérieur de la dalle de couverture; restent toutefois réservées les dispositions des plans localisés de quartier et celles des articles 10 et 11 en ce qui concerne les constructions agricoles et les édifices d’utilité publique, notamment les églises, les salles de réunions et les cliniques (art. 61 al. 3 LCI). La hauteur de la ligne verticale du gabarit se mesure, pour chaque construction, à partir du niveau moyen du sol adjacent (art. 63 al. 1 LCI)</w:t>
      </w:r>
    </w:p>
    <w:p>
      <w:r>
        <w:rPr>
          <w:b/>
        </w:rPr>
        <w:t>E. 42</w:t>
      </w:r>
    </w:p>
    <w:p>
      <w:r>
        <w:t>En l'espèce, à la consultation des plans de géomètres visés ne varietur le 22 juillet 2021 versés au dossier, il apparait que le gabarit théorique de l'immeuble projeté, calculé conformément aux prescriptions légales, varie entre 9,95 m et 6,62 m. Dans ces circonstances, force est donc de constater que le projet respecte, sous tous les angles, le gabarit théorique maximum de 10 mètres prévu tant pour la zone 4B protégée que pour la zone villa.</w:t>
      </w:r>
    </w:p>
    <w:p>
      <w:r>
        <w:rPr>
          <w:b/>
        </w:rPr>
        <w:t>E. 43</w:t>
      </w:r>
    </w:p>
    <w:p>
      <w:r>
        <w:t>Le grief est donc rejeté.</w:t>
      </w:r>
    </w:p>
    <w:p>
      <w:r>
        <w:rPr>
          <w:b/>
        </w:rPr>
        <w:t>E. 44</w:t>
      </w:r>
    </w:p>
    <w:p>
      <w:r>
        <w:t>Les recourants font ensuite valoir que le calcul des surfaces du projet serait erroné, s'appuyant sur le fait que la parcelle n° 4______ de la commune serait comptabilisée dans ledit calcul, et que la surface du sous-sol ne serait pas prise en compte.</w:t>
      </w:r>
    </w:p>
    <w:p>
      <w:r>
        <w:rPr>
          <w:b/>
        </w:rPr>
        <w:t>E. 45</w:t>
      </w:r>
    </w:p>
    <w:p>
      <w:r>
        <w:t>En l'espèce, différents préavis mentionnent la parcelle n° 4______ quand bien même la commune avait relevé cet élément dans son préavis du 21 novembre 2020 et avait exigé la correction des plans en excluant ladite parcelle, en précisant que celle-ci n'était pas incluse dans le projet. Il ressort en outre du préavis de la DAC du 8 juillet 2021, dans les remarques pour l'instruction au sujet du calcul des surfaces, que si le sous-sol (garage souterrain compris) a été pris en compte, la parcelle n° 4______ l'a également été. Cela étant, il découle tant de la requête en autorisation de construire du 17 septembre 2020 que de l'autorisation querellée que le projet litigieux porte – et a toujours porté – uniquement sur les parcelles nos 1______, 2______ et 3______. Les plans visés ne varietur indiquent eux-aussi que le projet ne concerne pas la parcelle n° 2______. Au surplus, la LCI ne</w:t>
      </w:r>
    </w:p>
    <w:p>
      <w:r>
        <w:t>- 21/25 - A/3122/2021 prévoit pas d'IUS au sujet de la zone 4B protégée ordinaire et le SPI a relevé dans son préavis du 10 décembre 2020, que le projet présentait un indice de densité cohérent. Dans ces circonstances, les irrégularités liées au calcul des surfaces telles qu'indiquées dans les préavis ne portent pas à conséquence quant à la validité du projet litigieux, celui-ci ne portant pas sur la parcelle n° 2______. Au demeurant, le tribunal rappellera qu'un projet lié a été autorisé sur celle parcelle (DD 2______) et a, somme toute, fait l'objet d'un examen simultané par les instances de préavis pour juger de l'intégration du projet litigieux dans son environnement direct, au niveau du quartier.</w:t>
      </w:r>
    </w:p>
    <w:p>
      <w:r>
        <w:rPr>
          <w:b/>
        </w:rPr>
        <w:t>E. 46</w:t>
      </w:r>
    </w:p>
    <w:p>
      <w:r>
        <w:t>Le grief est donc rejeté.</w:t>
      </w:r>
    </w:p>
    <w:p>
      <w:r>
        <w:rPr>
          <w:b/>
        </w:rPr>
        <w:t>E. 47</w:t>
      </w:r>
    </w:p>
    <w:p>
      <w:r>
        <w:t>Les recourants se plaignent encore de la violation de l’art. 14 LCI dans la mesure où le projet litigieux entrainerait des inconvénients graves pour le voisinage, notamment en terme de perte d'ensoleillement, de bruit, d'augmentation du trafic, et de sécurité. Le projet serait par ailleurs inesthétique et ne s'intègrerait aucunement de manière harmonieuse à son environnement.</w:t>
      </w:r>
    </w:p>
    <w:p>
      <w:r>
        <w:rPr>
          <w:b/>
        </w:rPr>
        <w:t>E. 48</w:t>
      </w:r>
    </w:p>
    <w:p>
      <w:r>
        <w:t>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w:t>
      </w:r>
    </w:p>
    <w:p>
      <w:r>
        <w:rPr>
          <w:b/>
        </w:rPr>
        <w:t>E. 49</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(ATA/649/2002 du 5 novembre 2002 consid. 19 et les arrêts cités). L’accroissement du trafic routier, s’il est raisonnable, ne crée pas une gêne durable au sens de l’art. 14 LCI ; de fait, l’accroissement du trafic engendré par de nouvelles constructions conformes à la destination de la zone ne constitue pas un inconvénient grave au sens de cette disposition (ATA/285/2021 du 2 mars 2021 consid. 8c ; ATA/259/2020 du 3 mars 2020 consid. 7a).</w:t>
      </w:r>
    </w:p>
    <w:p>
      <w:r>
        <w:rPr>
          <w:b/>
        </w:rPr>
        <w:t>E. 50</w:t>
      </w:r>
    </w:p>
    <w:p>
      <w:r>
        <w:t>La notion d'inconvénients graves est une notion juridique indéterminée qui laisse à l'autorité une liberté d'appréciation et n'est limitée que par l'excès ou l'abus de pouvoir. Le tribunal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w:t>
      </w:r>
    </w:p>
    <w:p>
      <w:r>
        <w:t>- 22/25 - A/3122/2021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(ATA/165/2018 du 20 février 2018). 51. S'agissant de la question de l'ensoleillement, le Tribunal fédéral a déjà eu l'occasion de préciser, en s'inspirant de la réglementation existante,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La chambre administrative a aussi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 52. En l'espèce, les recourants allèguent une perte d'ensoleillement sans même la quantifier et sans produire aucun document étayant ou démontrant cette affirmation. En revanche, il ressort de l'évaluation de la perte d'ensoleillement engendré par le projet sur les bâtiments voisins du 20 octobre 2021 réalisée par l'intimée, et dont les résultats ne sont pas contestés par les recourants, que dans toutes les situations, les ombres portées au jour moyen d'hiver, l'équinoxe de printemps, l'équinoxe d'automne ainsi que le solstice d'été impactent, cas échéant, les toitures moins de 2h00 par jour. Dans ces circonstances, force est d'admettre que la perte d'ensoleillement que subiraient les recourants n'est pas constitutive d'un inconvénient grave au sens de la jurisprudence précitée.</w:t>
      </w:r>
    </w:p>
    <w:p>
      <w:r>
        <w:t>- 23/25 - A/3122/2021</w:t>
      </w:r>
    </w:p>
    <w:p>
      <w:r>
        <w:t>S'agissant de l'augmentation des autres nuisances alléguées (auditives, visuelles et sécuritaires) en lien notamment avec l'augmentation du trafic, outre le fait que les recourants ne motivent leur grief que de façon très générale, toutes les instances de préavis consultées, composées de spécialistes, ont préavisé favorablement le projet. En particulier, le département s'est appuyé sur le préavis positif de l'OCT, instance spécialisée en matière de mobilité et de sécurité routière, laquelle n'a émis aucune remarque quant à la sécurité ou à une éventuelle augmentation du trafic, étant rappelé que la loi n'exige pas une telle motivation (ATA/461/2020 du 7 mai 2020 consid. 11e) et qu'un préavis sans observation est considéré comme un préavis favorable (ATA/1276/2018 du 27 novembre 2018 consid. 4d). Au surplus, si la construction de trente-cinq logements, d'une crèche et d'une salle paroissiale entrainera nécessairement des nuisances supplémentaires, rien n'amène à penser que celles-ci seraient dans une mesure telle qu'elles constitueraient des inconvénients graves pour les recourants. Au contraire, ils perdent de vue que si le projet porte sur la création de nouveaux logements et d'une salle paroissiale, la crèche projetée ne constitue en définitive que la reconstruction de la crèche existante, dans des dimensions semblables, établissement n'étant également de base pas directement accessible en véhicule par le K______. On peine ainsi à concevoir que, de ce point de vue, le trafic augmentera de manière aussi sensible que l'entendent les recourants. En outre, contrairement à l'église, la salle paroissiale ne vise pas à recevoir des offices religieux ni d'autres célébrations dans une mesure telle que les recourants en seraient notablement impactés. Ils ne le démontrent par ailleurs pas. Enfin, si le projet prévoit la construction de trente- cinq logements supplémentaires, force est de constater que selon les plans visés ne variétur, seul un emplacement de parking est prévu par logement ainsi que quatre places de parking visiteurs en extérieur. Ainsi, si le trafic lié à l'habitation sera vraisemblablement augmenté, il ne s'agira en moyenne que de va-et-vient d'une trentaine de véhicules, sans que cela n'entraine un usage particulièrement accru de la voie d'accès au bâtiment projeté par le Chemin de M______. Il sera également souligné que les recourants n’ont pas de droit acquis à ce que la fréquentation de la route demeure comme elle l’est.</w:t>
      </w:r>
    </w:p>
    <w:p>
      <w:r>
        <w:t>Il apparaît ainsi que le département a suivi l'avis des autorités consultées pour rendre sa décision et que, ce faisant, il n'a ni abusé, ni excédé son pouvoir d'appréciation en délivrant l'autorisation litigieuse. Conformément à la jurisprudence précitée, le tribunal doit faire preuve de retenue et il ne saurait se substituer à l’avis des spécialistes.</w:t>
      </w:r>
    </w:p>
    <w:p>
      <w:r>
        <w:t>En conclusion, l’implantation et les caractéristiques du projet litigieux n’étant pas susceptibles, dans des conditions d’exploitations normales, de créer des inconvénients graves pour le voisinage, il n’existe aucun motif qui puisse être tiré de l’art. 14 LCI pour refuser sa réalisation, étant rappelé que le tribunal de céans ne peut revoir l'opportunité de la décision attaquée (art. 61 al. 2 LPA).</w:t>
      </w:r>
    </w:p>
    <w:p>
      <w:r>
        <w:t>- 24/25 - A/3122/2021 53. Le grief sera écarté. 54. Mal fondé, le recours est rejeté. 55.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56. Vu l'issue du litige, une indemnité de procédure de CHF 2000.-, à la charge de recourants, pris conjointement et solidairement, sera allouée à l'intimée (art. 87 al. 2 à 4 LPA et 6 RFPA).</w:t>
      </w:r>
    </w:p>
    <w:p>
      <w:r>
        <w:t>- 25/25 - A/3122/2021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