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JTAPI/4/2024 vom 8. April 2019</w:t>
      </w:r>
    </w:p>
    <w:p>
      <w:r>
        <w:t>GE Cour de justice, 2019-04-08, FR</w:t>
      </w:r>
    </w:p>
    <w:p>
      <w:r>
        <w:rPr>
          <w:b/>
        </w:rPr>
        <w:t xml:space="preserve">Quelle: </w:t>
      </w:r>
      <w:r>
        <w:t>https://mcp.opencaselaw.ch/entscheid/ge_gerichte_JTAPI_4_2024</w:t>
      </w:r>
    </w:p>
    <w:p>
      <w:r>
        <w:t>FR: GE_GERICHTE JTAPI/4/2024 du 8 avril 2019</w:t>
      </w:r>
    </w:p>
    <w:p>
      <w:r>
        <w:t>IT: GE_GERICHTE JTAPI/4/2024 del 8 aprile 2019</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3 janvier 2024.</w:t>
      </w:r>
    </w:p>
    <w:p>
      <w:r>
        <w:rPr>
          <w:b/>
        </w:rPr>
        <w:t>E. 3</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4</w:t>
      </w:r>
    </w:p>
    <w:p>
      <w:r>
        <w:t>En l'espèce, M. A______ a fait l'objet d'une décision prise par le commissaire de police le 14 octobre 2022, lui faisant interdiction de pénétrer dans le canton de Genève pour une durée de dix-huit mois. Il a violé cette mesure à quatre reprises, soit les 27 octobre 2022, 24 avril 2023, 4 juillet 2023 et 9 août 2023, ainsi que constaté par jugement du Tribunal de police du 28 septembre 2023. Ce même jugement a par ailleurs prononcé son expulsion du territoire suisse pour une durée de trois ans. Par conséquent, sur le principe, les conditions de sa détention, au sens des dispositions légales précitées, sont réalisées, ce que M. A______, par son conseil, ne semble d'ailleurs pas contester.</w:t>
      </w:r>
    </w:p>
    <w:p>
      <w:r>
        <w:t>- 6/8 - A/11/2024</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la propension manifestée à plusieurs reprises par M. A______ à se soustraire aux mesures d'interdiction territoriales prononcées contre lui conduit le tribunal à considérer que toute autre mesure que sa détention administrative ne ferait que lui donner à nouveau l'occasion de se déplacer à sa guise et mettrait très probablement en échec l'exécution de son expulsion et sa réadmission sur territoire italien, que la Suisse doit de son côté exécuter conformément aux dispositions conventionnelles qui la lient à l'Italie.</w:t>
      </w:r>
    </w:p>
    <w:p>
      <w:r>
        <w:rPr>
          <w:b/>
        </w:rPr>
        <w:t>E. 10</w:t>
      </w:r>
    </w:p>
    <w:p>
      <w:r>
        <w:t>Compte tenu de ce qui précède, les assurances données par M. A______ à l'audience de ce jour sur le fait qu'il est déterminé à quitter ce jour même la Suisse à destination de l'Italie ne sauraient être considérées comme crédibles et ont bien plutôt pur but de servir ses propres intérêts dans la situation où il se trouve. C'est le lieu de préciser qu'en tout état, les autorités suisses ne peuvent laisser M. A______ retourner de son propre chef en Italie, quelle que soit la route qu'il emprunte. En effet, comme dit ci-dessus, la Suisse est liée à l'Italie par une convention qui lui impose d'obtenir préalablement l'accord des autorités de ce pays</w:t>
      </w:r>
    </w:p>
    <w:p>
      <w:r>
        <w:t>- 7/8 - A/11/2024 avant d'y renvoyer une personne disposant à priori d'un droit d'y séjourner. Il n'est donc pas question pour la Suisse de laisser M. A______ retourner en Italie en faisant fi de cette règle, ce d'autant qu'en l'occurrence, le droit de M. A______ de retourner en Italie ne paraît pas clairement établi, vu que son titre de voyage italien arrivait à expiration le 26 septembre 2023. Ce n'est donc que par la réponse des autorités italiennes qu'il pourra être juridiquement déterminé si M. A______ peut être renvoyé dans ce pays.</w:t>
      </w:r>
    </w:p>
    <w:p>
      <w:r>
        <w:rPr>
          <w:b/>
        </w:rPr>
        <w:t>E. 11</w:t>
      </w:r>
    </w:p>
    <w:p>
      <w:r>
        <w:t>Sous cet angle, sa détention apparaît donc comme proportionnée. Par ailleurs, il n'apparaît pas que les autorités suisses auraient violé leur devoir de diligence en tardant à organiser la réadmission de M. A______ en Italie, puisque la demande adressée aux autorités de ce pays remonte déjà à plusieurs semaines. Contrairement à ce que soutient M. A______, le délai de réponse que les autorités italiennes sont susceptibles de prendre, même s'il va jusqu'à six mois, ne contredit pas l'obligation de diligence des autorités suisses, qui ne sont pas responsables de ce délai.</w:t>
      </w:r>
    </w:p>
    <w:p>
      <w:r>
        <w:rPr>
          <w:b/>
        </w:rPr>
        <w:t>E. 12</w:t>
      </w:r>
    </w:p>
    <w:p>
      <w:r>
        <w:t>Quant à la durée de la détention, prononcée pour une durée de deux mois, elle ne paraît pas à priori disproportionnée compte tenu de l'incertitude qui pèse sur le délai dans lequel les autorités italiennes donneront leur réponse sur la réadmission de M. A______.</w:t>
      </w:r>
    </w:p>
    <w:p>
      <w:r>
        <w:rPr>
          <w:b/>
        </w:rPr>
        <w:t>E. 13</w:t>
      </w:r>
    </w:p>
    <w:p>
      <w:r>
        <w:t>Au vu de ce qui précède, il y a lieu de confirmer l'ordre de mise en détention administrative de M. A______ pour une durée de deux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