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JTAPI/499/2025 vom 12. Mai 2025</w:t>
      </w:r>
    </w:p>
    <w:p>
      <w:r>
        <w:t>GE Cour de justice, 2025-05-12, FR</w:t>
      </w:r>
    </w:p>
    <w:p>
      <w:r>
        <w:rPr>
          <w:b/>
        </w:rPr>
        <w:t xml:space="preserve">Quelle: </w:t>
      </w:r>
      <w:r>
        <w:t>https://mcp.opencaselaw.ch/entscheid/ge_gerichte_JTAPI_499_2025</w:t>
      </w:r>
    </w:p>
    <w:p>
      <w:r>
        <w:t>FR: GE_GERICHTE JTAPI/499/2025 du 12 mai 2025</w:t>
      </w:r>
    </w:p>
    <w:p>
      <w:r>
        <w:t>IT: GE_GERICHTE JTAPI/499/2025 del 12 maggio 2025</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t>- 6/10 - A/1465/2025</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Conformément à l'art. 74 al. 2 LEI, la compétence d'ordonner ces mesures incombe au canton qui exécute le renvoi ou l'expulsion.</w:t>
      </w:r>
    </w:p>
    <w:p>
      <w:r>
        <w:rPr>
          <w:b/>
        </w:rPr>
        <w:t>E. 6</w:t>
      </w:r>
    </w:p>
    <w:p>
      <w:r>
        <w:t>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w:t>
      </w:r>
    </w:p>
    <w:p>
      <w:r>
        <w:rPr>
          <w:b/>
        </w:rPr>
        <w:t>E. 7</w:t>
      </w:r>
    </w:p>
    <w:p>
      <w:r>
        <w:t>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w:t>
      </w:r>
    </w:p>
    <w:p>
      <w:r>
        <w:rPr>
          <w:b/>
        </w:rPr>
        <w:t>E. 8</w:t>
      </w:r>
    </w:p>
    <w:p>
      <w:r>
        <w:t>L'étranger est passible d'une peine privative de liberté de trois ans au plus ou d'une peine pécuniaire s'il n'observe pas les mesures qui lui sont imposées dans ce cadre (cf. art. 119 LEI).</w:t>
      </w:r>
    </w:p>
    <w:p>
      <w:r>
        <w:rPr>
          <w:b/>
        </w:rPr>
        <w:t>E. 9</w:t>
      </w:r>
    </w:p>
    <w:p>
      <w:r>
        <w:t>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w:t>
      </w:r>
    </w:p>
    <w:p>
      <w:r>
        <w:t>- 7/10 - A/1465/2025</w:t>
      </w:r>
    </w:p>
    <w:p>
      <w:r>
        <w:rPr>
          <w:b/>
        </w:rPr>
        <w:t>E. 10</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11</w:t>
      </w:r>
    </w:p>
    <w:p>
      <w:r>
        <w:t>La jurisprudence considère qu'une condamnation pénale n'a pas besoin d'être définitive pour fonder au moins l'existence de soupçons d'une infraction, lesquels sont suffisants dans le cadre de l'application de l'art. 74 LEI.</w:t>
      </w:r>
    </w:p>
    <w:p>
      <w:r>
        <w:rPr>
          <w:b/>
        </w:rPr>
        <w:t>E. 12</w:t>
      </w:r>
    </w:p>
    <w:p>
      <w:r>
        <w:t>En l'espèce, le principe de l'interdiction territoriale prononcée par le commissaire de police n’est, à juste titre, pas remis en cause par l’intéressé qui fait l'objet d'une décision de renvoi du territoire helvétique prononcée à son encontre le 10 octobre 2023 et n’est, a fortiori, titulaire d’aucune autorisation de courte durée, de séjour ou d’établissement qui l’autoriserait à demeurer en Suisse et qu’il a par ailleurs des antécédents nombreux en lien avec les stupéfiants. Les conditions des art. 74 al. 1 let. a LEI et 6 al. 3 LaLEtr sont donc réunies.</w:t>
      </w:r>
    </w:p>
    <w:p>
      <w:r>
        <w:rPr>
          <w:b/>
        </w:rPr>
        <w:t>E. 13</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14</w:t>
      </w:r>
    </w:p>
    <w:p>
      <w:r>
        <w:t>L'art. 74 LEI ne précise pas la durée de la mesure. Celle-ci doit répondre au principe de proportionnalité, à savoir être adéquate au but visé et rester dans un rapport raisonnable avec celui-ci (ATF 142 II 1 consid. 2.3). Elle ne peut pas être ordonnée</w:t>
      </w:r>
    </w:p>
    <w:p>
      <w:r>
        <w:t>- 8/10 - A/1465/2025 pour une durée indéterminée (arrêts du Tribunal fédéral 2C_197/2013 du 31 juillet 2013 consid. 4.1 ; 2C_1044/2012 du 5 novembre 2012 consid. 3.3). 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15</w:t>
      </w:r>
    </w:p>
    <w:p>
      <w:r>
        <w:t>La chambre administrative de la Cour de justice a récemment confirmé une première mesure d’interdiction territoriale pour une durée de 18 mois prononcée contre un étranger condamné à six reprises en 2019 et 2025 pour infractions à la LStup et à d’autres reprises pour infractions à la LEI. Sa dernière condamnation, par ordonnance pénale du 23 janvier 2025, portait sur la vente de 3 gr de cocaïne au total (ATA/247/2025 du 11 mars 2025). Elle a confirmé une interdiction territoriale de douze mois dans le canton de Genève à l’encontre d’une personne sans antécédents, interpellée et condamnée par le Ministère public pour avoir vendu une boulette de cocaïne, l’intéressé n’ayant aucune ressource financière ni aucun intérêt à venir dans le canton (ATA/655/2021 du 23 juin 2021 ; ATA/802/2019 du 17 avril 2019). Elle a enfin confirmé des interdictions territoriales pour une durée de 18 mois prononcées contre un étranger interpellé en flagrant délit de vente de deux boulettes de cocaïne et auparavant condamné deux fois et arrêté une fois pour trafic de stupéfiants (ATA/2577/2022 du 15 septembre 2022) ou un étranger sans titre, travail, lieu de séjour précis ni attaches à Genève, condamné plusieurs fois pour infractions à la LEI et la LStup (ATA/536/2022 du 20 mai 2022).</w:t>
      </w:r>
    </w:p>
    <w:p>
      <w:r>
        <w:rPr>
          <w:b/>
        </w:rPr>
        <w:t>E. 16</w:t>
      </w:r>
    </w:p>
    <w:p>
      <w:r>
        <w:t>En l’espèce, le tribunal retient que M. A______ n'a pas de liens avérés avec Genève. Il est en effet établi que son centre de vie se trouve en France, entre C______ et D______, où il réside avec son épouse et leurs deux enfants mineurs et travaille en qualité de mécanicien. Par ailleurs, même à retenir qu'il entretiendrait des relations avec ses cousins résidant à Genève et qu'il participerait à des fêtes religieuses qui seraient organisées dans la commune de H______, ce qui n'est pas démontré, cela ne saurait justifier de la nécessité de se rendre dans le canton, rien ne s'opposant à ce que ses cousins et/ou d'autres membres de sa communauté lui rendent visite en France. L'on relèvera encore que M. A______ n'a pas été interpellé à la sortie d'un rassemblement religieux ou avec des membres de sa famille et/ou communauté, mais dans le quartier des B______, où il a admis s'être rendu pour boire de l'alcool, regarder un match de football et, à tout le moins, consommer de la cocaïne. Dans ces conditions, il n'est pas déraisonnable de penser que sa présence à Genève résulte d'une volonté de commettre ou de permettre la commission d’activités délictuelles, voire criminelles, telles que le trafic de stupéfiants ou à tout le moins</w:t>
      </w:r>
    </w:p>
    <w:p>
      <w:r>
        <w:t>- 9/10 - A/1465/2025 la consommation de stupéfiants, et qu'il pourrait encore être amené à en commettre, M. A______ ayant admis être consommateur régulier de cocaïne lors de son audition par la police, drogue qu'il explique consommer lorsqu'il se rend à Genève dans le but de sortir en discothèque notamment. Au vu de ce qui précède, le périmètre de la mesure, qui apparaît conforme à la jurisprudence et adapté aux circonstances, sera donc confirmé. Enfin, la durée de la mesure, de 24 mois, apparaît conforme à la jurisprudence rappelée ci-dessus et adaptée aux circonstances du cas d'espèce, étant rappelé que l’intéressé n’a pas respecté la première mesure de durée inférieure prononcée à son encontre le 10 octobre 2023 et qu'il a, depuis son prononcé, été condamné à quatre reprises par l'autorité de poursuite pénale, notamment le 7 mai 2024, bien que dites condamnations ne soient, à ce jour, pas entrées en force.</w:t>
      </w:r>
    </w:p>
    <w:p>
      <w:r>
        <w:rPr>
          <w:b/>
        </w:rPr>
        <w:t>E. 17</w:t>
      </w:r>
    </w:p>
    <w:p>
      <w:r>
        <w:t>Partant, le tribunal confirmera l'interdiction de pénétrer dans une région déterminée prise à l'encontre de M. A______ pour une durée de 24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19</w:t>
      </w:r>
    </w:p>
    <w:p>
      <w:r>
        <w:t>Un éventuel recours déposé contre le présent jugement n'aura pas d'effet suspensif (art. 10 al. 1 LaLEtr).</w:t>
      </w:r>
    </w:p>
    <w:p>
      <w:r>
        <w:t>- 10/10 - A/1465/2025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