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JTAPI/499/2021 vom 16. Oktober 2020</w:t>
      </w:r>
    </w:p>
    <w:p>
      <w:r>
        <w:t>GE Cour de justice, 2020-10-16, FR</w:t>
      </w:r>
    </w:p>
    <w:p>
      <w:r>
        <w:rPr>
          <w:b/>
        </w:rPr>
        <w:t xml:space="preserve">Quelle: </w:t>
      </w:r>
      <w:r>
        <w:t>https://mcp.opencaselaw.ch/entscheid/ge_gerichte_JTAPI_499_2021</w:t>
      </w:r>
    </w:p>
    <w:p>
      <w:r>
        <w:t>FR: GE_GERICHTE JTAPI/499/2021 du 16 octobre 2020</w:t>
      </w:r>
    </w:p>
    <w:p>
      <w:r>
        <w:t>IT: GE_GERICHTE JTAPI/499/2021 del 16 ottobre 2020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t>- 5/14 - A/3704/2020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2.3</w:t>
      </w:r>
    </w:p>
    <w:p>
      <w:r>
        <w:t>;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136 I 229 consid. 5.2 ; ATA/168/2020 du 11 février 2020 consid. 2 et les références citées). Par ailleurs, il ne confère pas le droit d'être entendu oralement, ni celui d'obtenir l'audition de témoins (art. 41 in fine LPA ; ATF 134 I 140 consid. 5.3 ; arrêts du Tribunal fédéral 2D_51/2018 du 17 janvier 2019 consid. 4.1 ; 2C_901/2014 du 27 janvier 2015 consid. 3).</w:t>
      </w:r>
    </w:p>
    <w:p>
      <w:r>
        <w:rPr>
          <w:b/>
        </w:rPr>
        <w:t>E. 3</w:t>
      </w:r>
    </w:p>
    <w:p>
      <w:r>
        <w:t>Le recourant conclut préalablement à ce que le tribunal ordonne au besoin l'audition des auteurs des différentes attestations qu'il a produites.</w:t>
      </w:r>
    </w:p>
    <w:p>
      <w:r>
        <w:rPr>
          <w:b/>
        </w:rPr>
        <w:t>E. 4</w:t>
      </w:r>
    </w:p>
    <w:p>
      <w:r>
        <w:t>Tel que garanti par l'art. 29 al. 2 de la Constitution fédérale de la Confédération suisse du 18 avril 1999 (Cst. - RS 101), le droit d'être entendu comprend notamment le droit pour le justiciable de produire des preuves pertinentes, lorsque cela est de nature à influer sur la décision à rendre (cf. ATF 142 II 2018 consid.</w:t>
      </w:r>
    </w:p>
    <w:p>
      <w:r>
        <w:rPr>
          <w:b/>
        </w:rPr>
        <w:t>E. 5</w:t>
      </w:r>
    </w:p>
    <w:p>
      <w:r>
        <w:t>En l'espèce, les attestations produites par le recourant ne font qu'établir la date la plus ancienne à laquelle il serait arrivé à Genève, soit en 2002. Or, comme on va le voir plus loin, c'est non seulement l'ancienneté de l'arrivée à Genève ou en Suisse qui importe sous l'angle des critères de l'opération Papyrus ou des conditions légales relatives à l'octroi d'un permis de séjour pour cas individuel d'extrême gravité, mais également la continuité du séjour depuis lors, cette continuité excluant des séries d'allers-retours entre la Suisse et le pays d'origine ou un pays tiers. En tant que simples connaissances du recourant, les personnes qui ont attesté de son arrivée à Genève il y a de longues années et du fait qu'elles ont continué à le fréquenter depuis lors, ne peuvent exclure de tels allers-retours, lesquels sont de nature à passer relativement inaperçus lorsque, par exemple, il s'agit de période de 3 à 6 semaines répétées plusieurs fois par année. Dans cette mesure, seuls des éléments objectifs tels que des versements mensuels de salaire, des renouvellements mensuels d'abonnements, des rendez-vous médicaux, des attestations de formation, etc. (ces différents documents pouvant se combiner entre eux), sont de nature à permettre de retenir la continuité du séjour à Genève ou en Suisse.</w:t>
      </w:r>
    </w:p>
    <w:p>
      <w:r>
        <w:t>- 6/14 - A/3704/2020 Pour ces raisons, l'audition des auteurs de ces attestations n'apporteraient pas d'informations suffisamment fiables sur la continuité du séjour du recourant en Suisse depuis 2002. Par appréciation anticipée des preuves, le tribunal écartera donc cette mesure d'instruction.</w:t>
      </w:r>
    </w:p>
    <w:p>
      <w:r>
        <w:rPr>
          <w:b/>
        </w:rPr>
        <w:t>E. 6</w:t>
      </w:r>
    </w:p>
    <w:p>
      <w:r>
        <w:t>L'objet du litige concerne le refus par l'OCPM de préaviser favorablement le dossier du recourant auprès du SEM, en vue de l'octroi d'une autorisation de séjour sous l'angle des critères de l'opération Papyrus ou pour cas individuel d'extrême gravité.</w:t>
      </w:r>
    </w:p>
    <w:p>
      <w:r>
        <w:rPr>
          <w:b/>
        </w:rPr>
        <w:t>E. 7</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Tunisie.</w:t>
      </w:r>
    </w:p>
    <w:p>
      <w:r>
        <w:rPr>
          <w:b/>
        </w:rPr>
        <w:t>E. 8</w:t>
      </w:r>
    </w:p>
    <w:p>
      <w:r>
        <w:t>S'agissant de l'opération Papyrus, la jurisprudence a confirmé les critères retenus pour pouvoir bénéficier d'une régularisation du séjour à Genève (ATA/1585/2019 du 29 octobre 2019 consid. 9a). Ces critères sont les suivants : - avoir un emploi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Ces critères ont été énoncés dans le livret intitulé "Régulariser mon statut de séjour dans le cadre de Papyrus".</w:t>
      </w:r>
    </w:p>
    <w:p>
      <w:r>
        <w:rPr>
          <w:b/>
        </w:rPr>
        <w:t>E. 9</w:t>
      </w:r>
    </w:p>
    <w:p>
      <w:r>
        <w:t>Les preuves relatives au séjour dans le canton de Genève sont réparties dans deux catégories distinctes, selon leur force probante. Les preuves de catégorie A correspondent aux documents qui suffisent à eux seuls à démontrer le séjour de la personne concernée durant l'année correspondante, tandis que les preuves de catégories B correspondent aux documents dont la force probante est considérée comme moins grande. Dans cette catégorie, chaque année de séjour doit être attestée par trois à cinq documents distincts.</w:t>
      </w:r>
    </w:p>
    <w:p>
      <w:r>
        <w:t>- 7/14 - A/3704/2020 La catégorie A correspond aux documents suivants : - extrait AVS (cotisation retraite) - preuve de cotisations LPP (2e pilier) - attestation de l'administration fiscale - fiches de salaires - contrat de travail - contrat de bail - copie en cas de demande déposée auprès du tribunal des prud'hommes - preuves de versements d'allocations familiales pour enfants - attestation de scolarité à Genève, carnet scolaire - documents scolaires genevois (ou parascolaires, cours de sport, musique, etc.) adressés nominativement aux parents (pas de simple circulaire) - attestation de suivi d'un cours de langue à Genève - preuves de paiement des primes assurances maladies ou accident (LAMal) (pour les parents ou les enfants) - documents assurance maladie-accident (police d'assurance, décision de subside) - police d'assurance (RC, incendie ou ménage etc.) - abonnement TPG au nom des parents ou à celui de leurs enfants - attestation de suivi individuel par une association à Genève - extraits de comptes bancaires ou postaux faisant état de retraits ou de paiements réguliers dans des commerces locaux - preuve de versement Western Union ou autres - facture nominative du médecin, SIG, téléphone à Genève La catégorie B correspond aux documents suivants : - abonnement de fitness</w:t>
      </w:r>
    </w:p>
    <w:p>
      <w:r>
        <w:t>- 8/14 - A/3704/2020 - témoignages "engageants" (enseignants, association dont le requérant est membre, anciens employeurs, médecins, etc.) - documents attestations de différentes démarches, y compris le fait d'avoir un passeport établi ou renouvelé par une représentation diplomatique du pays d'origine.</w:t>
      </w:r>
    </w:p>
    <w:p>
      <w:r>
        <w:rPr>
          <w:b/>
        </w:rPr>
        <w:t>E. 10</w:t>
      </w:r>
    </w:p>
    <w:p>
      <w:r>
        <w:t>L'opération Papyrus a pris fin le 31 décembre 2018, « date limite pour le dépôt des dossiers de régularisation dans le cadre du projet » (cf. communiqué de presse du DSES et département de la cohésion sociale du 4 mars 2019, https://www.ge.ch/document/point-situation-intermediaire-relatif-cloture-du- projet-papyrus, consulté le 26.02.2021).</w:t>
      </w:r>
    </w:p>
    <w:p>
      <w:r>
        <w:rPr>
          <w:b/>
        </w:rPr>
        <w:t>E. 11</w:t>
      </w:r>
    </w:p>
    <w:p>
      <w:r>
        <w:t>A titre subsidiaire et dans l'hypothèse où les conditions de l'opération Papyrus susmentionnées ne seraient pas remplies, il convient d'examiner le dossier sous l'angle du cas de rigueur.</w:t>
      </w:r>
    </w:p>
    <w:p>
      <w:r>
        <w:rPr>
          <w:b/>
        </w:rPr>
        <w:t>E. 12</w:t>
      </w:r>
    </w:p>
    <w:p>
      <w:r>
        <w:t>Selon l'art. 30 al. 1 let. b LEI, il est possible de déroger aux conditions d'admission d'un étranger en Suisse pour tenir compte d'un cas individuel d'extrême gravité. L'art. 31 al. 1 OASA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(ATF 137 II 345 consid. 3.2.3 ; 137 II 1 consid. .1 ; arrêts du Tribunal administratif fédéral F-3986 2015 ; F-3986/2015 du 22 mai 2017 consid. 9.3 ; ATA/465/2017 du 25 avril 2017), d'autres éléments pouvant également entrer en considération, comme les circonstances concrètes ayant amené un étranger à séjourner illégalement en Suisse (cf. ATA/465/2017 du 25 avril 2017 consid. 5 ; ATA/425/2017 du 11 avril 2017).</w:t>
      </w:r>
    </w:p>
    <w:p>
      <w:r>
        <w:rPr>
          <w:b/>
        </w:rPr>
        <w:t>E. 13</w:t>
      </w:r>
    </w:p>
    <w:p>
      <w:r>
        <w:t>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w:t>
      </w:r>
    </w:p>
    <w:p>
      <w:r>
        <w:t>- 9/14 - A/3704/2020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w:t>
      </w:r>
    </w:p>
    <w:p>
      <w:r>
        <w:t>- 10/14 - A/3704/2020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F- 736/2017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2 : LEtr, 2017, p. 269 et les références citées).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Il ne faut pas non plus perdre de vue qu'il est parfaitement normal qu'une personne ayant effectué un séjour prolongé en Suisse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w:t>
      </w:r>
    </w:p>
    <w:p>
      <w:r>
        <w:t>- 11/14 - A/3704/2020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14</w:t>
      </w:r>
    </w:p>
    <w:p>
      <w:r>
        <w:t>En l'espèce, le recourant soutient qu'il séjournerait en Suisse depuis 2002. La décision litigieuse retient qu'en tout état, même si cette date correspond à l'arrivée du recourant en Suisse, il n'est pas établi qu'il y aurait depuis lors séjourné de manière continue et ininterrompue. Il convient à cet égard de rappeler que, conformément à la jurisprudence susmentionnée, la notion d'intégration rattachée à la durée du séjour implique que la personne concernée implante véritablement son centre de vie en Suisse et qu'elle ne quitte plus ce pays, hormis pour des absences liées à des périodes de vacances ou à quelques rares situations de nécessité. Inversement, lorsqu'une personne séjourne en Suisse par intermittence et retourne régulièrement dans son pays pour des périodes plus ou moins prolongées, elle peut certes finir par intégrer un certain nombre de codes et références propres à la Suisse, mais pour autant, on ne saurait admettre qu'elle y a durablement transféré son centre de vie avec l'intention d'abandonner définitivement l'idée de vivre dans son pays d'origine. Dans le cas présent, il semble plausible, à teneur des attestations produites par le recourant, qu'il est arrivé en Suisse, c'est-à-dire à Genève, en 2002. A défaut de fiches de salaire ou de relevés AVS correspondant aux périodes les plus anciennes du séjour du recourant, on ne saurait retenir qu'il a occupé un ou plusieurs emplois successifs de manière continue. De manière beaucoup plus vraisemblable, il n'a</w:t>
      </w:r>
    </w:p>
    <w:p>
      <w:r>
        <w:t>- 12/14 - A/3704/2020 travaillé que par intermittence. L'attestation établie par M______ Sàrl concernant les remplacements effectués par le recourant au bar N______, de 2005 à 2010, va dans ce sens. L'attestation établie par M. P______, à teneur de laquelle le recourant aurait travaillé pour son entreprise en tant que nettoyeur de fin de chantier entre 2008 et 2015, est rédigée en termes extrêmement généraux et ne permet pas de retenir qu'il aurait occupé un emploi régulier durant toute cette période, sans interruptions notables. On relèvera à ce sujet que si tel avait été le cas, le recourant se serait sans doute lié à des collègues de travail. Or, force est de constater qu'il n'a mentionné, parmi ses connaissances, aucune personne avec laquelle il aurait travaillé sur les chantiers durant les sept années concernées, de manière continue.</w:t>
      </w:r>
    </w:p>
    <w:p>
      <w:r>
        <w:rPr>
          <w:b/>
        </w:rPr>
        <w:t>E. 15</w:t>
      </w:r>
    </w:p>
    <w:p>
      <w:r>
        <w:t>Hormis la question du rattachement professionnel, la vraisemblance de la continuité d'un séjour en Suisse ou à Genève peut résulter de documents relatifs à l'intégration sociale, à des aspects médicaux, des formations, des démarches administratives, des contrats, etc. Or, en l'occurrence, les attestations fournies par l'H______ et par l'association I______ attestent uniquement, et en termes généraux, que le recourant à la qualité de membre depuis 2012 et 2013 et qu'il a participé à la vie associative. Or, la qualité de membre d'une association et même la participation régulière à ses activités ne permet pas d'exclure que la personne concernée effectue des allers-retours entre la Suisse et son pays d'origine, voire entre la Suisse et un pays limitrophe comme la France ou l'Italie. Par conséquent, c'est à juste titre que l'autorité intimée a retenu que le critère de la durée minimal d'un séjour continu de dix ans à Genève n'était pas rempli de manière suffisamment probante. C'est également à raison qu'elle a retenu que, même si elle pouvait être considérée comme convenable, l'intégration sociale et professionnelle du recourant ne pouvait être qualifiée de remarquable au sens de la jurisprudence susmentionnée, au point qu'elle permette de faire exceptionnellement abstraction de l'exigence d'un séjour de longue durée.</w:t>
      </w:r>
    </w:p>
    <w:p>
      <w:r>
        <w:rPr>
          <w:b/>
        </w:rPr>
        <w:t>E. 16</w:t>
      </w:r>
    </w:p>
    <w:p>
      <w:r>
        <w:t>Par conséquent, sous l'angle de l'opération Papyrus, force est de constater que la décision litigieuse est correctement fondée.</w:t>
      </w:r>
    </w:p>
    <w:p>
      <w:r>
        <w:rPr>
          <w:b/>
        </w:rPr>
        <w:t>E. 17</w:t>
      </w:r>
    </w:p>
    <w:p>
      <w:r>
        <w:t>Il en va de même sous l'angle des conditions légales prévues par les art. 30 al. 1 let b LEI et 31 OASA. Ce qui vient d'être dit au sujet du manque de preuves relatives à la durée d'un séjour continu et ininterrompu en Suisse depuis de nombreuses années, ainsi qu'au sujet de l'intégration socioprofessionnelle du recourant, demeure valable sous l'angle de ces dispositions légales. Par ailleurs, le recourant n'indique pas en quoi son retour dans son pays d'origine impliquerait pour lui des difficultés particulières, pour des raisons différentes que</w:t>
      </w:r>
    </w:p>
    <w:p>
      <w:r>
        <w:t>- 13/14 - A/3704/2020 les difficultés socio-économiques qui affectent l'ensemble de la population tunisienne.</w:t>
      </w:r>
    </w:p>
    <w:p>
      <w:r>
        <w:rPr>
          <w:b/>
        </w:rPr>
        <w:t>E. 18</w:t>
      </w:r>
    </w:p>
    <w:p>
      <w:r>
        <w:t>Au vu de ce qui précède, c'est avec raison que l'autorité intimée a refusé de préaviser favorablement le dossier du recourant à l'attention du SEM, en vue de l'octroi d'une autorisation de séjour pour cas individuel d'extrême gravité.</w:t>
      </w:r>
    </w:p>
    <w:p>
      <w:r>
        <w:rPr>
          <w:b/>
        </w:rPr>
        <w:t>E. 19</w:t>
      </w:r>
    </w:p>
    <w:p>
      <w:r>
        <w:t>Selon l'art. 64 al. 1 let. c LEI, les autorités compétentes rendent une décision de renvoi ordinaire à l'encontre d'un étranger auquel une autorisation est refusée ou dont l'autorisation n'est pas prolongée, car il n'en remplit pas les conditions. Elles ne disposent à ce titre d'aucun pouvoir d'appréciation, le renvoi constituant la conséquence logique et inéluctable du rejet d'une demande d'autorisation (arrêt du Tribunal administratif fédéral C-4183/2011 du 16 janvier 2012 consid. 3.1 et les références citées ; ATA/709/2016 du 23 août 2016 consid. 8a et ATA/228/2018 du 2 mars 2015 consid. 8).</w:t>
      </w:r>
    </w:p>
    <w:p>
      <w:r>
        <w:rPr>
          <w:b/>
        </w:rPr>
        <w:t>E. 20</w:t>
      </w:r>
    </w:p>
    <w:p>
      <w:r>
        <w:t>Enfin, aux termes de l'art 83 al. 1 LEI, le SEM décide d'admettre à titre provisoire l'étranger si l'exécution du renvoi ou de l'expulsion n'est pas possible, n'est pas licite ou ne peut être raisonnablement exigée.</w:t>
      </w:r>
    </w:p>
    <w:p>
      <w:r>
        <w:rPr>
          <w:b/>
        </w:rPr>
        <w:t>E. 21</w:t>
      </w:r>
    </w:p>
    <w:p>
      <w:r>
        <w:t>En l'espèce, dès lors que le recourant est dépourvu de toute autorisation lui permettant de séjourner en Suisse, son renvoi a été prononcé à juste titre. Par ailleurs, aucun élément ne laisse supposer que l'exécution de cette mesure ne serait pas possible, pas licite ou qu'elle ne pourrait pas être raisonnablement exigée.</w:t>
      </w:r>
    </w:p>
    <w:p>
      <w:r>
        <w:rPr>
          <w:b/>
        </w:rPr>
        <w:t>E. 22</w:t>
      </w:r>
    </w:p>
    <w:p>
      <w:r>
        <w:t>Le recours, mal fondé, doit donc être rejeté.</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de CHF 500.-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- 14/14 - A/3704/2020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