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JTAPI/498/2021 vom 4. November 2020</w:t>
      </w:r>
    </w:p>
    <w:p>
      <w:r>
        <w:t>GE Cour de justice, 2020-11-04, FR</w:t>
      </w:r>
    </w:p>
    <w:p>
      <w:r>
        <w:rPr>
          <w:b/>
        </w:rPr>
        <w:t xml:space="preserve">Quelle: </w:t>
      </w:r>
      <w:r>
        <w:t>https://mcp.opencaselaw.ch/entscheid/ge_gerichte_JTAPI_498_2021</w:t>
      </w:r>
    </w:p>
    <w:p>
      <w:r>
        <w:t>FR: GE_GERICHTE JTAPI/498/2021 du 4 novembre 2020</w:t>
      </w:r>
    </w:p>
    <w:p>
      <w:r>
        <w:t>IT: GE_GERICHTE JTAPI/498/2021 del 4 novembre 2020</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2.3</w:t>
      </w:r>
    </w:p>
    <w:p>
      <w:r>
        <w:t>;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136 I 229 consid. 5.2 ; ATA/168/2020 du 11 février 2020 consid. 2 et les références citées). Par ailleurs, il ne confère pas le droit d'être entendu oralement, ni celui d'obtenir l'audition de témoins (art. 41 in fine LPA ; ATF 134 I 140 consid. 5.3 ; arrêts du Tribunal fédéral 2D_51/2018 du 17 janvier 2019 consid. 4.1 ; 2C_901/2014 du 27 janvier 2015 consid. 3).</w:t>
      </w:r>
    </w:p>
    <w:p>
      <w:r>
        <w:rPr>
          <w:b/>
        </w:rPr>
        <w:t>E. 3</w:t>
      </w:r>
    </w:p>
    <w:p>
      <w:r>
        <w:t>Le recourant conclut préalablement à ce que le tribunal ordonne son audition.</w:t>
      </w:r>
    </w:p>
    <w:p>
      <w:r>
        <w:rPr>
          <w:b/>
        </w:rPr>
        <w:t>E. 4</w:t>
      </w:r>
    </w:p>
    <w:p>
      <w:r>
        <w:t>Tel que garanti par l'art. 29 al. 2 de la Constitution fédérale de la Confédération suisse du 18 avril 1999 (Cst. - RS 101), le droit d'être entendu comprend notamment le droit pour le justiciable de produire des preuves pertinentes, lorsque cela est de nature à influer sur la décision à rendre (cf. ATF 142 II 2018 consid.</w:t>
      </w:r>
    </w:p>
    <w:p>
      <w:r>
        <w:rPr>
          <w:b/>
        </w:rPr>
        <w:t>E. 5</w:t>
      </w:r>
    </w:p>
    <w:p>
      <w:r>
        <w:t>En l'espèce, le recourant a eu l'occasion de s'exprimer par écrit durant la procédure, d'exposer son point de vue et de produire tous les justificatifs qu'il estimait utiles à l'appui de ses allégués. Il n'explicite pas les raisons pour lesquelles son audition permettrait de mieux établir les éléments pertinents du dossier. Dès lors, il ne se justifie pas de procéder à cette mesure d'instruction.</w:t>
      </w:r>
    </w:p>
    <w:p>
      <w:r>
        <w:rPr>
          <w:b/>
        </w:rPr>
        <w:t>E. 6</w:t>
      </w:r>
    </w:p>
    <w:p>
      <w:r>
        <w:t>L'objet du litige concerne le refus par l'OCPM de préaviser favorablement le dossier du recourant auprès du SEM, en vue de l'octroi d'une autorisation de séjour pour cas individuel d'extrême gravité.</w:t>
      </w:r>
    </w:p>
    <w:p>
      <w:r>
        <w:rPr>
          <w:b/>
        </w:rPr>
        <w:t>E. 7</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Kosovo.</w:t>
      </w:r>
    </w:p>
    <w:p>
      <w:r>
        <w:t>- 6/12 - A/4130/2020 Selon l'art. 30 al. 1 let. b LEI, il est possible de déroger aux conditions d'admission d'un étranger en Suisse pour tenir compte d'un cas individuel d'extrême gravité. L'art. 31 al. 1 OASA précise cette disposition et prévoit qu'une autorisation de séjour peut être octroyée dans les cas individuels d'extrême gravité, l'autorité devant, lors de leur 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(ATF 137 II 345 consid. 3.2.3 ; 137 II 1 consid. .1 ; arrêts du Tribunal administratif fédéral F-3986 2015 ; F-3986/2015 du 22 mai 2017 consid. 9.3 ; ATA/465/2017 du 25 avril 2017), d'autres éléments pouvant également entrer en considération, comme les circonstances concrètes ayant amené un étranger à séjourner illégalement en Suisse (cf. ATA/465/2017 du 25 avril 2017 consid. 5 ; ATA/425/2017 du 11 avril 2017).</w:t>
      </w:r>
    </w:p>
    <w:p>
      <w:r>
        <w:rPr>
          <w:b/>
        </w:rPr>
        <w:t>E. 8</w:t>
      </w:r>
    </w:p>
    <w:p>
      <w:r>
        <w:t>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w:t>
      </w:r>
    </w:p>
    <w:p>
      <w:r>
        <w:t>- 7/12 - A/4130/2020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w:t>
      </w:r>
    </w:p>
    <w:p>
      <w:r>
        <w:rPr>
          <w:b/>
        </w:rPr>
        <w:t>E. 11</w:t>
      </w:r>
    </w:p>
    <w:p>
      <w:r>
        <w:t>Selon l'art. 64 al. 1 let. c LEI, les autorités compétentes rendent une décision de renvoi ordinaire à l'encontre d'un étranger auquel une autorisation est refusée ou dont l'autorisation n'est pas prolongée, car il n'en remplit pas les conditions. Elles ne disposent à ce titre d'aucun pouvoir d'appréciation, le renvoi constituant la conséquence logique et inéluctable du rejet d'une demande d'autorisation (arrêt du Tribunal administratif fédéral C-4183/2011 du 16 janvier 2012 consid. 3.1 et les références citées ; ATA/709/2016 du 23 août 2016 consid. 8a et ATA/228/2018 du 2 mars 2015 consid. 8).</w:t>
      </w:r>
    </w:p>
    <w:p>
      <w:r>
        <w:rPr>
          <w:b/>
        </w:rPr>
        <w:t>E. 12</w:t>
      </w:r>
    </w:p>
    <w:p>
      <w:r>
        <w:t>Enfin, aux termes de l'art 83 al. 1 LEI, le SEM décide d'admettre à titre provisoire l'étranger si l'exécution du renvoi ou de l'expulsion n'est pas possible, n'est pas licite ou ne peut être raisonnablement exigée.</w:t>
      </w:r>
    </w:p>
    <w:p>
      <w:r>
        <w:rPr>
          <w:b/>
        </w:rPr>
        <w:t>E. 13</w:t>
      </w:r>
    </w:p>
    <w:p>
      <w:r>
        <w:t>En l'espèce, dès lors que le recourant est dépourvu de toute autorisation lui permettant de séjourner en Suisse, son renvoi a été prononcé à juste titre. Par ailleurs, aucun élément ne laisse supposer que l'exécution de cette mesure ne serait pas possible, pas licite ou qu'elle ne pourrait pas être raisonnablement exigée. Les difficultés de réintégration du recourant dans son pays, qui doivent être relativisées (cf. ci-dessus consid. 9 in fine), ne sauraient être pris en considération sous l'angle de l'art. 83 LEI, pas davantage que la situation sanitaire actuelle liée à la pandémie de la Covid-19 (arrêt du Tribunal administratif fédéral D-1233/2018 du 19 avril 2020 ; ATA/154/2020 du 17 novembre 2020 consid. 9b ; ATA/630/2020 du 30 juin 2020 consid. 7d).</w:t>
      </w:r>
    </w:p>
    <w:p>
      <w:r>
        <w:rPr>
          <w:b/>
        </w:rPr>
        <w:t>E. 14</w:t>
      </w:r>
    </w:p>
    <w:p>
      <w:r>
        <w:t>Le recours, mal fondé, doit donc être rejeté.</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w:t>
      </w:r>
    </w:p>
    <w:p>
      <w:r>
        <w:rPr>
          <w:b/>
        </w:rPr>
        <w:t>E. 16</w:t>
      </w:r>
    </w:p>
    <w:p>
      <w:r>
        <w:t>En vertu des art. 89 al. 2 et 111 al. 2 de la loi sur le Tribunal fédéral du 17 juin 2005 (LTF - RS 173.110), le présent jugement sera communiqué au secrétariat d'État aux migrations.</w:t>
      </w:r>
    </w:p>
    <w:p>
      <w:r>
        <w:t>- 12/12 - A/4130/2020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