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JTAPI/495/2024 vom 23. Mai 2024</w:t>
      </w:r>
    </w:p>
    <w:p>
      <w:r>
        <w:t>GE Cour de justice, 2024-05-23, FR</w:t>
      </w:r>
    </w:p>
    <w:p>
      <w:r>
        <w:rPr>
          <w:b/>
        </w:rPr>
        <w:t xml:space="preserve">Quelle: </w:t>
      </w:r>
      <w:r>
        <w:t>https://mcp.opencaselaw.ch/entscheid/ge_gerichte_JTAPI_495_2024</w:t>
      </w:r>
    </w:p>
    <w:p>
      <w:r>
        <w:t>FR: GE_GERICHTE JTAPI/495/2024 du 23 mai 2024</w:t>
      </w:r>
    </w:p>
    <w:p>
      <w:r>
        <w:t>IT: GE_GERICHTE JTAPI/495/2024 del 23 maggio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129 IV 6 consid. 6.1 ; arrêts du Tribunal fédéral 6B_28/2016 du 10 octobre 2016 consid. 5.1 ; 6B_1276/2015 du 29 juin 2016 consid. 2.1 ; cf. aussi ATA/124/2016 du 9 février 2016 ; ATA/1305/2015 du 8 décembre 2015 ; ATA/824/2015 du 11 août 2015 ; ATA/569/2015 du 2 juin 2015 ; ATA/886/2014 du 11 novembre 2014 ; ATA/791/2013 du 3 décembre 2013 ; ATA/74/2013 du 6 février 2013) et ses capacités financières (cf. ATA/719/2012 du 30 octobre 2012 ; Günter STRATRENWERTH, Schweizerisches Strafrecht - Allgemeiner Teil II : Strafen und Massnahmen, 2ème éd., 2006, p. 75 § 75 ; Sandro CHIMICHELLA, Die Geldstrafe in Schweizer Strafrecht, 2006, p. 39).</w:t>
      </w:r>
    </w:p>
    <w:p>
      <w:r>
        <w:rPr>
          <w:b/>
        </w:rPr>
        <w:t>E. 3</w:t>
      </w:r>
    </w:p>
    <w:p>
      <w:r>
        <w:t>A titre préalable, la recourante sollicite divers actes d’instruction, soit la tenue d’une audience de comparution personnelle des parties ainsi que l’audition de témoins.</w:t>
      </w:r>
    </w:p>
    <w:p>
      <w:r>
        <w:rPr>
          <w:b/>
        </w:rPr>
        <w:t>E. 4</w:t>
      </w:r>
    </w:p>
    <w:p>
      <w:r>
        <w:t>Le droit d’être entendu, garanti par l’art. 29 al. 2 de la Constitution fédérale de la Confédération suisse du 18 avril 1999 (Cst. - RS 101), comprend notamment le</w:t>
      </w:r>
    </w:p>
    <w:p>
      <w:r>
        <w:t>- 7/13 - A/3698/2023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w:t>
      </w:r>
    </w:p>
    <w:p>
      <w:r>
        <w:rPr>
          <w:b/>
        </w:rPr>
        <w:t>E. 5</w:t>
      </w:r>
    </w:p>
    <w:p>
      <w:r>
        <w:t>En l’occurrence, le tribunal estime que le dossier contient les éléments nécessaires et suffisants à l’examen des griefs et arguments mis en avant par les parties. En effet, concernant la demande d'audition des parties, la recourante a eu l’occasion de s’exprimer par écrit, d’exposer son point de vue et de produire toutes les pièces qu’elle estimait utiles à l’appui de ses allégués. Le dossier comporte en outre tous les éléments pertinents et nécessaires à l’examen des griefs et arguments mis en avant par les parties, permettant ainsi au tribunal de se forger une opinion et de trancher le litige. Partant, il n’y a pas lieu de procéder à la comparution personnelle des parties, ni à l’audition de témoins, ces actes d'instruction n'étant au demeurant pas obligatoires.</w:t>
      </w:r>
    </w:p>
    <w:p>
      <w:r>
        <w:rPr>
          <w:b/>
        </w:rPr>
        <w:t>E. 6</w:t>
      </w:r>
    </w:p>
    <w:p>
      <w:r>
        <w:t>Il ne sera dès lors pas donné suite aux mesures d’instruction sollicitées.</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- 8/13 - A/3698/2023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10</w:t>
      </w:r>
    </w:p>
    <w:p>
      <w:r>
        <w:t>En l’espèce, l'objet du litige porte sur l'amende de CHF 1'000.- prononcée le ______ 2023 en vertu de l'art. 137 LCI. Ladite amende a été infligée à la recourante au motif qu'elle n'avait pas respecté l'ordre donné le ______ 2023 par lequel le département lui ordonnait de rétablir une situation conforme au droit en procédant à la réalisation des travaux conformément à l'autorisation de construire complémentaire n° DD 2______/3, y compris l'évacuation des brises vues sur les clôtures, ainsi que de fournir une attestation globale de conformité dans un délai de 90 jours. Il convient donc de déterminer si la recourante a satisfait ou non à ses obligations découlant de l'ordre précité dans le délai imparti et, en cas d'infraction, vérifier si l'amende est juridiquement fondée.</w:t>
      </w:r>
    </w:p>
    <w:p>
      <w:r>
        <w:rPr>
          <w:b/>
        </w:rPr>
        <w:t>E. 11</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t>- 9/13 - A/3698/2023</w:t>
      </w:r>
    </w:p>
    <w:p>
      <w:r>
        <w:rPr>
          <w:b/>
        </w:rPr>
        <w:t>E. 12</w:t>
      </w:r>
    </w:p>
    <w:p>
      <w:r>
        <w:t>Selon l'art. 137 al. 1 LCI, est passible d'une amende administrative de CHF 100.- à CHF 150'000.- tout contrevenant : a) à la présente loi ;</w:t>
      </w:r>
    </w:p>
    <w:p>
      <w:r>
        <w:t>b) aux règlements et arrêtés édictés en vertu de la présente loi ;</w:t>
      </w:r>
    </w:p>
    <w:p>
      <w:r>
        <w:t>c) aux ordres donnés par le département dans les limites de la présente loi et des règlements et arrêtés édictés en vertu de celle-ci</w:t>
      </w:r>
    </w:p>
    <w:p>
      <w:r>
        <w:rPr>
          <w:b/>
        </w:rPr>
        <w:t>E. 13</w:t>
      </w:r>
    </w:p>
    <w:p>
      <w:r>
        <w:t>Il est tenu compte, dans la fixation du montant de l'amende, du degré de gravité de l'infraction ; la violation des prescriptions par cupidité ainsi que les cas de récidive constituent notamment des circonstances aggravantes (art. 137 al. 3 LCI).</w:t>
      </w:r>
    </w:p>
    <w:p>
      <w:r>
        <w:rPr>
          <w:b/>
        </w:rPr>
        <w:t>E. 14</w:t>
      </w:r>
    </w:p>
    <w:p>
      <w:r>
        <w:t>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Alain MACALUSO/ Laurent MOREILLON/ Nicolas QUELOZ [éd.], Commentaire romand du Code pénal II, Art. 111-392 CP, 2017, n. 2 ad art. 292 p. 1887).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(cf. ATA/147/2014 du 11 mars 2014 consid. 11 et les références ; ATA/455/2000 du 9 août 2000 consid. 3d).</w:t>
      </w:r>
    </w:p>
    <w:p>
      <w:r>
        <w:rPr>
          <w:b/>
        </w:rPr>
        <w:t>E. 15</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ATA/1472/2017 du 14 novembre 2017 ; ATA/313/2017 du 21 mars 2017 ; ATA/263/2016 du 22 mars 2016 ; ATA/163/2014 du 18 mars 2014 ; ATA/74/2013 du 6 février 2013).</w:t>
      </w:r>
    </w:p>
    <w:p>
      <w:r>
        <w:rPr>
          <w:b/>
        </w:rPr>
        <w:t>E. 16</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w:t>
      </w:r>
    </w:p>
    <w:p>
      <w:r>
        <w:t>- 10/13 - A/3698/2023 (not. ATA/1472/2017 du 14 novembre 2017 ; ATA/313/2017 du 21 mars 2017 ; ATA/824/2015 du 11 août 2015 ; ATA/886/2014 du 11 novembre 2014 ; ATA/791/2013 du 3 décembre 2013). Il est ainsi en particulier nécessaire que le contrevenant ait commis une faute (cf. not. ATA/1472/2017 du 14 novembre 2017 ; ATA/124/2016 du 9 février 2016 ; ATA/886/2014 du 11 novembre 2014 ; ATA/147/2014 du 11 mars 2014).</w:t>
      </w:r>
    </w:p>
    <w:p>
      <w:r>
        <w:rPr>
          <w:b/>
        </w:rPr>
        <w:t>E. 17</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18</w:t>
      </w:r>
    </w:p>
    <w:p>
      <w:r>
        <w:t>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t>- 11/13 - A/3698/2023</w:t>
      </w:r>
    </w:p>
    <w:p>
      <w:r>
        <w:rPr>
          <w:b/>
        </w:rPr>
        <w:t>E. 19</w:t>
      </w:r>
    </w:p>
    <w:p>
      <w:r>
        <w:t>Enfin, l'amende doit respecter le principe de la proportionnalité garanti par l'art. 5 al. 2 de la Constitution fédérale de la Confédération suisse du 18 avril 1999 (Cst. - RS 101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20</w:t>
      </w:r>
    </w:p>
    <w:p>
      <w:r>
        <w:t>En l'espèce, la recourante ne conteste pas ne pas avoir terminé les travaux autorisés dans le délai de 90 jours imparti par le département dans sa décision du ______ 2023. Elle n'a par ailleurs pas recouru contre cette décision lui ordonnant de réaliser les travaux. Elle reproche toutefois au département d'avoir privilégié une approche « mécanique », sans avoir pris en considération les circonstances du cas d'espèce. Selon la recourante, le département aurait dû accepter de prolonger le délai initialement imparti pour exécuter les travaux à la fin du mois de juillet 2024, selon le planning transmis en date du 18 août 2023.</w:t>
      </w:r>
    </w:p>
    <w:p>
      <w:r>
        <w:rPr>
          <w:b/>
        </w:rPr>
        <w:t>E. 21</w:t>
      </w:r>
    </w:p>
    <w:p>
      <w:r>
        <w:t>Selon l'art. 16 al. 2 LPA, le délai imparti par l’autorité peut être prolongé pour des motifs fondés si la partie en fait la demande avant son expiration. La demande doit être antérieure à l’échéance du délai (ATA/687/2010 du 5 octobre 2010 consid. 3). Si la requête est déposée le dernier jour du délai, l’administré porte alors seul le risque des conséquences du refus (arrêt du Tribunal fédéral 5D_87/2013 du 16 juillet 2013 consid. 6.2). Il n’existe cependant pas un droit « automatique » à une prolongation de délai (arrêt du Tribunal fédéral 5D_87/2013 du 16 juillet 2013 consid. 6 ; Stéphane GRODECKI / Romain JORDAN, Code annoté de procédure administrative genevoise, 2017, ad art. 16 n. 294 p. 83).</w:t>
      </w:r>
    </w:p>
    <w:p>
      <w:r>
        <w:rPr>
          <w:b/>
        </w:rPr>
        <w:t>E. 22</w:t>
      </w:r>
    </w:p>
    <w:p>
      <w:r>
        <w:t>En l'espèce, il est relevé que suite à la notification de la décision du ______ 2023 à la recourante, ce n'est qu'en date du 19 juillet, soit quelques jours avant l'échéance du délai de 90 jours, qu'une demande de suspension dudit délai, ainsi que la fixation d'un délai pour la production d'un nouveau planning des travaux est parvenue au département. Il est par ailleurs relevé que cette demande n'émanait non pas de la recourante elle-même, mais de la société C______ SA, par le biais de ses conseils. Il ressort du dossier que l'octroi d'un délai supplémentaire a certes été sollicité avant l'échéance du délai initialement fixé. Aucune réponse n'a toutefois été apportée par le département avant l'échéance du délai de 90 jours. Dès lors qu'elle était tenue d'exécuter l'ordre prononcé à son encontre et d'en prouver la réalisation dans un certain délai, il incombait à la recourante de s'assurer que le département accorderait la prolongation requise ou prendre ses dispositions en cas de refus de prolongation. Force est de constater que dans le délai initialement fixé, la recourante n'avait pas entièrement procédé à la réalisation des travaux conformément à l'autorisation de construire n° DD 2______/3, ni fait parvenir l'attestation globale de conformité</w:t>
      </w:r>
    </w:p>
    <w:p>
      <w:r>
        <w:t>- 12/13 - A/3698/2023 accompagnée des plans conformes à exécution, ce qui justifie par conséquent le prononcé de l'amende administrative querellée dans son principe.</w:t>
      </w:r>
    </w:p>
    <w:p>
      <w:r>
        <w:rPr>
          <w:b/>
        </w:rPr>
        <w:t>E. 23</w:t>
      </w:r>
    </w:p>
    <w:p>
      <w:r>
        <w:t>Reste à déterminer si la quotité de l’amende respecte le principe de proportionnalité.</w:t>
      </w:r>
    </w:p>
    <w:p>
      <w:r>
        <w:rPr>
          <w:b/>
        </w:rPr>
        <w:t>E. 24</w:t>
      </w:r>
    </w:p>
    <w:p>
      <w:r>
        <w:t>S'agissant du montant de l'amende, fixé à CHF 1'000.-, rien ne permet de considérer que le département aurait pris en considération des critères ou éléments sans pertinence pour évaluer la faute et fixer ce montant. Au contraire, dans la décision querellée, le département a indiqué à la recourante les motifs qui l'ont poussé à infliger une telle amende, à savoir le fait de ne pas avoir respecté l'ordre du ______ 2023. En outre, le département a visiblement fait application du principe de proportionnalité dans ce cadre, en prononçant une amende somme toute modérée par rapport au maximum prévu par la loi, eu égard à sa pratique en la matière et dans la mesure où dans le cadre du même projet immobilier, une amende de CHF 150'000.-, non contestée, avait déjà été infligée à la recourante. Enfin, cette dernière ne démontre pas que le paiement de cette amende l'exposerait à des difficultés financières particulières.</w:t>
      </w:r>
    </w:p>
    <w:p>
      <w:r>
        <w:rPr>
          <w:b/>
        </w:rPr>
        <w:t>E. 25</w:t>
      </w:r>
    </w:p>
    <w:p>
      <w:r>
        <w:t>Au vu de ce qui précède, le département n’a pas abusé de son pouvoir d’appréciation en fixant le montant de l'amende à CHF 1'000.-.</w:t>
      </w:r>
    </w:p>
    <w:p>
      <w:r>
        <w:rPr>
          <w:b/>
        </w:rPr>
        <w:t>E. 26</w:t>
      </w:r>
    </w:p>
    <w:p>
      <w:r>
        <w:t>En tous points mal fondé, le recours sera rejeté.</w:t>
      </w:r>
    </w:p>
    <w:p>
      <w:r>
        <w:rPr>
          <w:b/>
        </w:rPr>
        <w:t>E. 27</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t>- 13/13 - A/3698/2023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