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JTAPI/493/2024 vom 23. Mai 2024</w:t>
      </w:r>
    </w:p>
    <w:p>
      <w:r>
        <w:t>GE Cour de justice, 2024-05-23, FR</w:t>
      </w:r>
    </w:p>
    <w:p>
      <w:r>
        <w:rPr>
          <w:b/>
        </w:rPr>
        <w:t xml:space="preserve">Quelle: </w:t>
      </w:r>
      <w:r>
        <w:t>https://mcp.opencaselaw.ch/entscheid/ge_gerichte_JTAPI_493_2024</w:t>
      </w:r>
    </w:p>
    <w:p>
      <w:r>
        <w:t>FR: GE_GERICHTE JTAPI/493/2024 du 23 mai 2024</w:t>
      </w:r>
    </w:p>
    <w:p>
      <w:r>
        <w:t>IT: GE_GERICHTE JTAPI/493/2024 del 23 maggio 2024</w:t>
      </w:r>
    </w:p>
    <w:p>
      <w:pPr>
        <w:pStyle w:val="Heading2"/>
      </w:pPr>
      <w:r>
        <w:t>Erwägungen</w:t>
      </w:r>
    </w:p>
    <w:p>
      <w:r>
        <w:rPr>
          <w:b/>
        </w:rPr>
        <w:t>E. 10</w:t>
      </w:r>
    </w:p>
    <w:p>
      <w:r>
        <w:t>Une décision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144 I 113 consid. 5.1.1 ; 143 I 361 consid. 5.1 ; 142 V 316 consid. 6.1.1 ; arrêt du Tribunal fédéral 2C_949/2019 du 11 mai 2020 consid. 6.3). Il n’y a en principe pas d’égalité dans l’illégalité (arrêt du Tribunal fédéral 1C_28/ 2019 du 23 décembre 2019 consid. 6.1 ; ATA/508/2020 du 26 mai 2020 consid. 6c). Le principe de la légalité de l’activité administrative prévaut en principe sur celui de l’égalité de traitement. Dès lors, le justiciable ne peut généralement pas se prétendre victime d’une inégalité devant la loi lorsque celle-ci est correctement appliquée à son cas, alors qu’elle aurait été faussement, voire pas appliquée du tout, dans d’autres cas semblables. Cela présuppose cependant, de la part de l’autorité dont la décision est attaquée, la volonté d’appliquer correctement à l’avenir les</w:t>
      </w:r>
    </w:p>
    <w:p>
      <w:r>
        <w:t>- 12/16 - A/3966/2023 dispositions légales en question. L’administré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 arrêt du Tribunal fédéral 1C_482/2010 du</w:t>
      </w:r>
    </w:p>
    <w:p>
      <w:r>
        <w:rPr>
          <w:b/>
        </w:rPr>
        <w:t>E. 14</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(ATF 140 II 202 consid. 5.1 ; 138 III 166 consid. 3.2 ; 136 III 283 consid. 2.3.1 ; 135 III 640 consid. 2.3.1 ; arrêt du Tribunal fédéral 4A_68/2014 du</w:t>
      </w:r>
    </w:p>
    <w:p>
      <w:r>
        <w:rPr>
          <w:b/>
        </w:rPr>
        <w:t>E. 16</w:t>
      </w:r>
    </w:p>
    <w:p>
      <w:r>
        <w:t>Il reste à déterminer si la décision litigieuse est conforme au principe de proportionnalité.</w:t>
      </w:r>
    </w:p>
    <w:p>
      <w:r>
        <w:rPr>
          <w:b/>
        </w:rPr>
        <w:t>E. 17</w:t>
      </w:r>
    </w:p>
    <w:p>
      <w:r>
        <w:t>Ledit principe, garanti par l’art. 5 al. 2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ATA/1325/2021 du 3 décembre 2021 consid. 5d). Ce principe interdit ainsi toute limitation allant au-delà du but visé et exige un rapport raisonnable entre celui-ci et les intérêts publics ou privés compromis (ATF 142 I 49 consid. 9.1 et les références citées).</w:t>
      </w:r>
    </w:p>
    <w:p>
      <w:r>
        <w:rPr>
          <w:b/>
        </w:rPr>
        <w:t>E. 18</w:t>
      </w:r>
    </w:p>
    <w:p>
      <w:r>
        <w:t>En l’espèce, la recourante relève que la suppression de la cloison de séparation/porte telle que demandée par le département n'est pas nécessaire au vu de l'apport de lumière suffisant venant du plafond et qu'elle nécessiterait de repenser l'architecture de la chambre et engendrerait des coûts de travaux disproportionnés. Dans le cadre de la précédente requête en autorisation de construire (APA 4______), les plans avaient pourtant été modifiés et prévoyaient justement de renoncer à cette séparation. Le recourant a par ailleurs spontanément proposé, sans toutefois revoir les plans du projet litigieux : « concernant le séjour-cuisine du 3ème étage, nous pouvons vous proposer d'enlever la porte coulissante au niveau de la cloison de séparation entre la chambre et le séjour ce qui permettra que le séjour/cuisine soit pourvu de jours ouvrant directement sur l'extérieur » (réponse au préavis ArchLCI-4 du 28 mars 2023, p. 3). En outre, les inconvénients relevés par le recourant, résultent directement du fait qu'il a, en louant ses logements et en procédant à l'aménagement des chambres sans autorisation, mis le département devant le fait accompli et qu’il doit s'attendre à ce que le tribunal se préoccupe davantage de rétablir une situation conforme au droit que des désagréments qui en découlent pour lui. Ce grief sera donc écarté.</w:t>
      </w:r>
    </w:p>
    <w:p>
      <w:r>
        <w:rPr>
          <w:b/>
        </w:rPr>
        <w:t>E. 19</w:t>
      </w:r>
    </w:p>
    <w:p>
      <w:r>
        <w:t>Par conséquent, le présent recours sera rejeté sans qu'il soit nécessaire d'examiner les griefs du recourant en lien avec les exigences d'accessibilité pour les PMR.</w:t>
      </w:r>
    </w:p>
    <w:p>
      <w:r>
        <w:rPr>
          <w:b/>
        </w:rPr>
        <w:t>E. 20</w:t>
      </w:r>
    </w:p>
    <w:p>
      <w:r>
        <w:t>Mal fondé, le recours est rejeté et la décision entreprise confirmée.</w:t>
      </w:r>
    </w:p>
    <w:p>
      <w:r>
        <w:t>- 15/16 - A/3966/2023</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w:t>
      </w:r>
    </w:p>
    <w:p>
      <w:r>
        <w:rPr>
          <w:b/>
        </w:rPr>
        <w:t>E. 22</w:t>
      </w:r>
    </w:p>
    <w:p>
      <w:r>
        <w:t>Vu l’issue du litige, aucune indemnité de procédure ne sera allouée (art. 87 al. 2 LPA).</w:t>
      </w:r>
    </w:p>
    <w:p>
      <w:r>
        <w:t>- 16/16 - A/3966/2023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