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JTAPI/492/2024 vom 23. Mai 2024</w:t>
      </w:r>
    </w:p>
    <w:p>
      <w:r>
        <w:t>GE Cour de justice, 2024-05-23, FR</w:t>
      </w:r>
    </w:p>
    <w:p>
      <w:r>
        <w:rPr>
          <w:b/>
        </w:rPr>
        <w:t xml:space="preserve">Quelle: </w:t>
      </w:r>
      <w:r>
        <w:t>https://mcp.opencaselaw.ch/entscheid/ge_gerichte_JTAPI_492_2024</w:t>
      </w:r>
    </w:p>
    <w:p>
      <w:r>
        <w:t>FR: GE_GERICHTE JTAPI/492/2024 du 23 mai 2024</w:t>
      </w:r>
    </w:p>
    <w:p>
      <w:r>
        <w:t>IT: GE_GERICHTE JTAPI/492/2024 del 23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LPA.</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w:t>
      </w:r>
    </w:p>
    <w:p>
      <w:r>
        <w:t>- 10/18 - A/3931/2023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5</w:t>
      </w:r>
    </w:p>
    <w:p>
      <w:r>
        <w:t>En premier lieu, la recourante se plaint d’une violation de son droit d’être entendue dans la mesure où le département aurait ignoré des éléments pertinents sans en justifier la raison. Le département le conteste, affirmant que ces éléments n’étaient nullement pertinents.</w:t>
      </w:r>
    </w:p>
    <w:p>
      <w:r>
        <w:rPr>
          <w:b/>
        </w:rPr>
        <w:t>E. 6</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rPr>
          <w:b/>
        </w:rPr>
        <w:t>E. 7</w:t>
      </w:r>
    </w:p>
    <w:p>
      <w:r>
        <w:t>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Elle dépend toutefois de la gravité et de l’étendue de l’atteinte portée au droit d’être entendu et doit rester</w:t>
      </w:r>
    </w:p>
    <w:p>
      <w:r>
        <w:t>- 11/18 - A/3931/2023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(ATA/442/2024 du 27 mars 2024 consid. 5.1 et les références citées).</w:t>
      </w:r>
    </w:p>
    <w:p>
      <w:r>
        <w:rPr>
          <w:b/>
        </w:rPr>
        <w:t>E. 8</w:t>
      </w:r>
    </w:p>
    <w:p>
      <w:r>
        <w:t>En l’espèce, le tribunal fait siennes les explications du département tels qu’exposées dans ses observations du 25 janvier 2024 quant à l’absence de pertinence, dans les circonstances concrètes du présent cas, des éléments invoqués par la recourante. Il n’y a donc pas eu de violation du droit d’être entendue de la recourante. En tout état, même en admettant qu’une telle violation ait effectivement eu lieu, celle-ci aurait été réparée dans le cadre de la présente procédure, de sorte qu’il n’y aurait pas lieu, pour ce motif, de prononcer l’annulation de la décision litigieuse.</w:t>
      </w:r>
    </w:p>
    <w:p>
      <w:r>
        <w:rPr>
          <w:b/>
        </w:rPr>
        <w:t>E. 9</w:t>
      </w:r>
    </w:p>
    <w:p>
      <w:r>
        <w:t>La recourante considère que les conditions légales pour l’octroi de l’autorisation de construire qu’elle a sollicitée le ______ 2023 afin de régulariser le chemin d’accès et la place de manœuvre et de stationnement, qui faisaient notamment l’objet de la procédure d’infraction n° I-5______, sont réalisées, ce que le département conteste.</w:t>
      </w:r>
    </w:p>
    <w:p>
      <w:r>
        <w:rPr>
          <w:b/>
        </w:rPr>
        <w:t>E. 10</w:t>
      </w:r>
    </w:p>
    <w:p>
      <w:r>
        <w:t>Selon l’art. 22 LAT, 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 Sur le plan cantonal, cette exigence est consacrée à l’art. 1 al. 1 LCI aux termes duquel sur tout le territoire du canton nul ne peut, sans y avoir été autorisé, élever en tout ou partie une construction ou une installation, notamment un bâtiment locatif, industriel ou agricole, une villa, un garage, un hangar, un poulailler, un mur, une clôture ou un portail.</w:t>
      </w:r>
    </w:p>
    <w:p>
      <w:r>
        <w:rPr>
          <w:b/>
        </w:rPr>
        <w:t>E. 11</w:t>
      </w:r>
    </w:p>
    <w:p>
      <w:r>
        <w:t>Aux termes de l’art. 14 LAT, les plans d’affectation règlent le mode d’utilisation du sol (al. 1). Ils délimitent en premier lieu les zones à bâtir, les zones agricoles, les zones à protéger et les autres zones et territoires, prévus par le droit cantonal (al. 2). Les plans d’affectation ont force obligatoire pour chacun (art. 21 al. 1 LAT). Selon la jurisprudence, les plans d’affectation ont le plus souvent un effet obligatoire qualifié de négatif, à savoir empêcher tout usage non conforme à l’affectation de la zone ou tout aménagement ne respectant pas les prescriptions d’un plan d’affectation. En tant qu’il s’agit d’une construction, cette conformité est vérifiée dans la procédure du permis de construire (ATA/332/2022 du 29 mars 2022 consid. 5b et les références citées).</w:t>
      </w:r>
    </w:p>
    <w:p>
      <w:r>
        <w:t>- 12/18 - A/3931/2023</w:t>
      </w:r>
    </w:p>
    <w:p>
      <w:r>
        <w:rPr>
          <w:b/>
        </w:rPr>
        <w:t>E. 12</w:t>
      </w:r>
    </w:p>
    <w:p>
      <w:r>
        <w:t>La zone agricole est régie par les art. 16 et 16a LAT ainsi que par les art. 20 ss LaLAT, dispositions définissant notamment les constructions qui sont conformes à la zone, soit qu’elles sont nécessaires à l’exploitation agricole, soit qu’elles servent au développement d’une activité conforme. En vertu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À teneur de l’art. 16a LAT, sont conformes à l’affectation de la zone agricole les constructions et installations qui sont nécessaires à l’exploitation agricole ou à l’horticulture productrice (al. 1).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arrêt du Tribunal fédéral 1C_314/2009 du 12 juillet 2010 consid. 5.1). L’art. 34 OAT reprend ces définitions en précisant (al. 1) que sont conformes à l’affectation de la zone agricole les constructions et installations qui servent à l’exploitation tributaire du sol ou au développement interne et en stipulant (al. 4) qu’une autorisation ne peut être délivrée que si la construction ou l’installation est nécessaire à l’exploitation en question, si aucun intérêt prépondérant ne s’oppose à l’implantation de la construction ou de l’installation à l’endroit prévu et s’il est prévisible que l’exploitation pourra subsister à long terme. L’art. 37 OAT précise que l’édification de constructions et installations destinées à la culture maraîchère et à l’horticulture selon un mode de production indépendant du sol est réputée développement interne (art. 16a al. 2 LAT) si la surface de production indépendante du sol n’excède pas 35% de la surface maraîchère ou horticole cultivée et n’est pas supérieure à 5’000 m2 (al. 1) et que la production est réputée indépendante du sol s’il n’y a pas de lien suffisamment étroit avec le sol (al. 2).</w:t>
      </w:r>
    </w:p>
    <w:p>
      <w:r>
        <w:t>- 13/18 - A/3931/2023</w:t>
      </w:r>
    </w:p>
    <w:p>
      <w:r>
        <w:rPr>
          <w:b/>
        </w:rPr>
        <w:t>E. 13</w:t>
      </w:r>
    </w:p>
    <w:p>
      <w:r>
        <w:t>À Genève, ne sont autorisées en zone agricole que les constructions/installations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14</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CC est applicable par analogie. Pour les faits constitutifs d’un droit, le fardeau de la preuve incombe à celui qui entend se prévaloir de ce droit (ATF 112 Ib 65 consid. 3 ; ATA/654/2023 du 20 juin 2023 consid. 2.3).</w:t>
      </w:r>
    </w:p>
    <w:p>
      <w:r>
        <w:rPr>
          <w:b/>
        </w:rPr>
        <w:t>E. 15</w:t>
      </w:r>
    </w:p>
    <w:p>
      <w:r>
        <w:t>En l’occurrence, force est pour le tribunal de constater, d’une part, que la parcelle n° 1______ n’accueille actuellement aucune exploitation agricole ou horticulture productrice et, d’autre part, que le futur emploi de la serre que la recourante appelle de ses vœux n’est nullement défini à ce jour ; on ignore si à terme celle-ci sera effectivement utilisée pour une exploitation agricole ou d’horticulture productrice ou si d’autres activités s’y dérouleront, comme cela a par exemple été le cas avec les époux C______ et D______. On ne sait également pas si la parcelle n° 1______ pourrait accueillir des activités agricoles en dehors de la serre, ni si cela est envisagée à l’heure actuelle. Dans ces circonstances, il convient d’admettre que la serre, faute d’être à ce jour exploitée par un agriculteur, n’est pas utilisée pour l’agriculture. Le simple fait d’alléguer qu’il était projeté de la réhabiliter à des fins agricoles et de la louer ensuite à un exploitant en accord avec les directives de l’OCAN est à l’évidence insuffisant pour considérer que l’aménagement projeté est conforme à la zone ; les conditions légales doivent être respectées au moment de la délivrance du permis requis et non dans un futur hypothétique. Sans connaître ni quel type d’exploitation ni quel exploitant occupera la serre, voire la parcelle, il ne peut ni être vérifié si le chemin d’accès et la place de manœuvre et de stationnement - dont la régularisation est sollicitée et qui seraient destinés à la future exploitation - sont ou non conformes aux conditions de l’art. 34 al. 1 OAT, ni déterminer si les critères de nécessité de l’aménagement prévu à cet emplacement et de la subsistance à long terme de l’exploitation énoncés à l’art. 34 al. 4 OAT sont ou non respectés. Par conséquent, c’est à juste titre que l’OCAN a spécifié dans son préavis du 4 septembre 2023 que la demande de régularisation devrait, le cas échéant, être portée par l’exploitant agricole locataire de la serre En conclusion, les constructions/installations sollicitées dans la demande du ______ 2023 ne peuvent pas être considérées comme conformes à la zone agricole en vertu des dispositions précitées. Le département pouvait ainsi, à juste titre, rejeter cette demande, ceci sous réserve de l’octroi d’une dérogation ou de la reconnaissance de la situation acquise, éléments qu’il faut donc examiner, ce</w:t>
      </w:r>
    </w:p>
    <w:p>
      <w:r>
        <w:t>- 14/18 - A/3931/2023 d’autant plus que la recourante se prévaut également du fait qu’une dérogation fondée sur les art. 24 LAT et 27 LaLAT aurait en tout état dû être retenue.</w:t>
      </w:r>
    </w:p>
    <w:p>
      <w:r>
        <w:rPr>
          <w:b/>
        </w:rPr>
        <w:t>E. 16</w:t>
      </w:r>
    </w:p>
    <w:p>
      <w:r>
        <w:t>L’art. 24 LAT précise qu’en dérogation de l’art. 22 al. 2 LAT, des autorisations peuvent être délivrées pour de nouvelles constructions ou installations ou pour tout changement d’affectation si (a) l’implantation de ces constructions ou installations hors de la zone à bâtir est imposée par leur destination et (b) qu’aucun intérêt prépondérant ne s’y oppose. Ces deux conditions sont cumulatives (ATF 124 II 252 consid. 4 ; arrêt du Tribunal fédéral 1C_618/2014 du 29 juillet 2015 consid. 4.3) et doivent être examinées séparément (ATF 138 II 570 consid. 4). À Genève, selon l’art. 27 LaLAT, qui correspond à l’art. 24 LAT (arrêt du Tribunal fédéral 1A.196/2006 du 12 mars 2007 consid. 5.3),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 De façon générale, l’implantation d’une construction est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comme plus avantageux que d’autres endroits situés à l’intérieur de la zone à bâtir (ATF 136 II 214 consid. 2.1 ; arrêt du Tribunal fédéral 1C_877/2013 du 31 juillet 2014 consid. 3.1.1 ; ATA/582/2022 du 31 mai 2022 consid. 6a). L’application du critère de l’art. 24 let. a LAT doit être stricte, dès lors qu’il contribue à l’objectif de séparation du bâti et du non-bâti et l’examen du lieu de situation imposé par la destination apparaît incomplet lorsqu’aucune solution alternative ni aucun emplacement alternatif n’ont été débattus (ATF 136 II 214 consid. 2.2 ; 117 Ib 270 consid. 4a ; arrêt du Tribunal fédéral 1C_877/2013 du 31 juillet 2014 consid. 3.1.1). L’examen du caractère relativement imposé par la destination de l’emplacement, implique une pesée de l’ensemble des intérêts en présence, pesée qui se recoupe avec celle imposée par l’art. 24 let. b LAT (ATF 141 II 245 consid. 7.6.2). Des préférences dictées par des idées et des vœux subjectifs ou des critères de commodité ou d’agrément ne peuvent être pris en considération (ATF 129 II 63 consid. 3.1 ; arrêt du Tribunal fédéral 1A.98/2005 du</w:t>
      </w:r>
    </w:p>
    <w:p>
      <w:r>
        <w:rPr>
          <w:b/>
        </w:rPr>
        <w:t>E. 19</w:t>
      </w:r>
    </w:p>
    <w:p>
      <w:r>
        <w:t>février 2007 consid 3.1). L’autorité n’est en principe pas tenue d’accorder une dérogation, sauf si ce refus est entaché d’arbitraire, et peut interpréter restrictivement une norme dérogatoire (ATA/690/1999 du 23 novembre 1999). Selon la jurisprudence, la dérogation sert</w:t>
      </w:r>
    </w:p>
    <w:p>
      <w:r>
        <w:t>- 15/18 - A/3931/2023 fondamentalement à éviter des cas d’extrême dureté, en permettant de prendre en considération des situations exceptionnelles. La plupart du temps, toutefois, des considérations générales ou d’ordre économique ne permettent pas de justifier une dérogation qui ne peut en tout cas pas être accordée pour fournir « une solution idéale » au maître de l’ouvrage (ATF 107 Ia 214, consid. 5 ; ATA/690/1999 du</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w:t>
      </w:r>
    </w:p>
    <w:p>
      <w:r>
        <w:t>- 17/18 - A/3931/2023 Vu l’issue du litige, aucune indemnité de procédure ne sera allouée (art. 87 al. 2 LPA).</w:t>
      </w:r>
    </w:p>
    <w:p>
      <w:r>
        <w:t>- 18/18 - A/3931/2023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