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JTAPI/488/2024 vom 23. Mai 2024</w:t>
      </w:r>
    </w:p>
    <w:p>
      <w:r>
        <w:t>GE Cour de justice, 2024-05-23, FR</w:t>
      </w:r>
    </w:p>
    <w:p>
      <w:r>
        <w:rPr>
          <w:b/>
        </w:rPr>
        <w:t xml:space="preserve">Quelle: </w:t>
      </w:r>
      <w:r>
        <w:t>https://mcp.opencaselaw.ch/entscheid/ge_gerichte_JTAPI_488_2024</w:t>
      </w:r>
    </w:p>
    <w:p>
      <w:r>
        <w:t>FR: GE_GERICHTE JTAPI/488/2024 du 23 mai 2024</w:t>
      </w:r>
    </w:p>
    <w:p>
      <w:r>
        <w:t>IT: GE_GERICHTE JTAPI/488/2024 del 23 maggio 2024</w:t>
      </w:r>
    </w:p>
    <w:p>
      <w:pPr>
        <w:pStyle w:val="Heading2"/>
      </w:pPr>
      <w:r>
        <w:t>Erwägungen</w:t>
      </w:r>
    </w:p>
    <w:p>
      <w:r>
        <w:rPr>
          <w:b/>
        </w:rPr>
        <w:t>E. 12</w:t>
      </w:r>
    </w:p>
    <w:p>
      <w:r>
        <w:t>Par acte du 15 août 2023, sous la plume de son conseil, la ville a formé recours contre cette décision auprès du tribunal, concluant à l’admission du recours ainsi qu'à l’annulation de l’autorisation de construire DD 2______ du ______ 2023, sous suite de frais et dépens. Le principe de précaution prévu à l’art. 74 de la Constitution fédérale de la Confédération suisse du 18 avril 1999 (Cst - RS 101) et à l’art. 1 de la loi fédérale sur la protection de l’environnement du 7 octobre 1983 (LPE - RS 814.01) était violé. Les infrastructures litigieuses étaient projetées à proximité immédiate de LUS, tels qu'une école primaire, un cycle d'orientation et une crèche. Parmi les dix-neuf antennes, au moins trois antennes (n° 17, 18 et 19) seraient adaptatives, de sorte qu'à tout le moins pendant certaines périodes, ces antennes émettraient des rayonnements au-delà de la valeur limite fixée dans l'annexe 1 à l'ORNI. Lesdits rayonnements auraient des effets néfastes sur la santé. Les valeurs limite d'émission autour des écoles et de la crèche étaient supérieure à 80 % de la VLInst, dès lors qu'elle était de 4.93 V/m, respectivement de 4.75 V/m aux LUS nos 3 et 5, soit à proximité de la crèche notamment. En outre, les études scientifiques menées sur les effets néfastes sur la santé montraient que ceux-ci pouvaient se déployer même en tenant compte des valeurs limites. S'agissant des antennes adaptatives, elles pouvaient émettre jusqu'à dix fois au-delà de ces valeurs limites, du moins pendant une certaine durée. Les émissions de l'installation litigieuse touchaient une population d'enfants particulièrement sensibles. Le principe de précaution n'exigeait aucune certitude scientifique, de sorte que la probabilité d'une atteinte réelle, plausible et fondée sur l'expérience était suffisante. Il revenait à l'autorité ayant rendu la décision litigieuse d'examiner la conformité de l'ORNI à la LPE sous l'angle du principe de précaution. Le Tribunal fédéral avait certes rendu dernièrement plusieurs arrêts écartant des recours dirigés contre de telles demandes octroyées à des opérateurs de téléphonie mobile, considérant que les valeurs limitent fixées par l'ORNI étaient suffisamment basses pour respecter le principe de précaution. Il aurait toutefois laissé transparaître certains doutes et avait rappelé que ses récentes décisions étaient fondées sur l'état actuel des connaissances. Dans ses récentes décisions, le Tribunal fédéral n'avait cependant pas pris en compte, notamment, le fait que de manière importante les installations ne respectaient pas la limitation préventive des émissions, ni le rapport de l'Université de Neuchâtel sur l'effet des RNI sur les arthropodes. En conclusion, le principe de précaution avait été violé par la décision attaquée. Quand bien même les valeurs d'émissions seraient inférieures aux valeurs fixées par l'ORNI, il revenait à l'autorité d'examiner si cette ordonnance respectait le principe de précaution.</w:t>
      </w:r>
    </w:p>
    <w:p>
      <w:r>
        <w:t>- 6/17 - A/2577/2023</w:t>
      </w:r>
    </w:p>
    <w:p>
      <w:r>
        <w:rPr>
          <w:b/>
        </w:rPr>
        <w:t>E. 13</w:t>
      </w:r>
    </w:p>
    <w:p>
      <w:r>
        <w:t>Le 4 septembre 2023, B______ a transmis ses observations, concluant au rejet du recours et à la condamnation de la ville aux frais et indemnité de procédure. En substance, s'agissant de la violation du principe de précaution, à plusieurs reprises le Tribunal fédéral avait rejeté des recours contre des projets de construction d'installations de communication mobile aves des antennes 5G adaptatives, niant une violation du principe de précaution au sens du droit de l'environnement. Quant aux prévisions de rayonnement établies arithmétiquement, elles n'étaient pas critiquables et tant la méthode de mesure recommandée par la Confédération que le système d'assurance de la qualité s'avéraient actuellement appropriés. S'agissant du contrôle préjudiciel de la conformité de l'ORNI à la LPE, le tribunal était tenu d'appliquer ladite ordonnance et il n'existait aucun motif qui l'obligeait à procéder à un tel contrôle qui par ailleurs aboutirait à la conformité de l'ORNI à la LPE.</w:t>
      </w:r>
    </w:p>
    <w:p>
      <w:r>
        <w:rPr>
          <w:b/>
        </w:rPr>
        <w:t>E. 14</w:t>
      </w:r>
    </w:p>
    <w:p>
      <w:r>
        <w:t>Le 16 octobre 2023, le département a répondu au recours, concluant à son rejet, à la confirmation de la décision entreprise et à ce que la recourante soit condamnée aux dépens de l’instance. Il a produit son dossier. En substance, les probabilités réelles, plausibles et fondées sur l'expérience auxquelles il avait été fait référence dans le cadre du recours ne permettaient pas de considérer que le principe de précaution avait été violé. Au contraire, les exigences du département en la matière étaient conformes au droit dans la mesure où elles prenaient en considération les conditions qui lui étaient liées, en fonction notamment des précisions apportées par les recommandations éditées par l'OFEV.</w:t>
      </w:r>
    </w:p>
    <w:p>
      <w:r>
        <w:rPr>
          <w:b/>
        </w:rPr>
        <w:t>E. 15</w:t>
      </w:r>
    </w:p>
    <w:p>
      <w:r>
        <w:t>Par réplique du 17 novembre 2023, la recourante a persisté dans ses conclusions. Elle a complété son argumentation en relevant que pendant certains laps de temps, en principe courts, la puissance d'émission d'une antenne adaptative pouvait être dépassé même au-delà de la puissance d'émission maximale augmentée du facteur de correction K. La fiche de données spécifique au site n'indiquait cependant pas quelle était cette puissance maximale pouvant sporadiquement être émise par l'antenne. L'autorisation litigieuse portait par conséquent sur une installation dont la puissance maximale réelle était ignorée, dans la mesure où il n'était indiqué nulle part si le facteur de correction K était appliqué, respectivement si un système de limitation automatique de la puissance était mis en œuvre. Les conséquences sur la santé des dépassements des valeurs limites répétés étaient inconnues. L'OFEV n'avait par ailleurs pas démontré que le respect d'une valeur limite moyenne, qui pouvait temporairement être dépassée, offrait la même protection qu'une valeur limite permanente. Finalement, le SABRA n'avait pas connaissance de la valeur d'émission maximale même pour de courtes durées lorsqu'il a rendu son préavis favorable. L'autorisation de construire querellée ne pouvait ainsi être délivrée, faute de connaître cette information et de la confronter aux exigences du principe de précaution.</w:t>
      </w:r>
    </w:p>
    <w:p>
      <w:r>
        <w:t>- 7/17 - A/2577/2023</w:t>
      </w:r>
    </w:p>
    <w:p>
      <w:r>
        <w:rPr>
          <w:b/>
        </w:rPr>
        <w:t>E. 16</w:t>
      </w:r>
    </w:p>
    <w:p>
      <w:r>
        <w:t>Le 29 novembre 2023, B______ a dupliqué. La recourante affirmait à tort que la puissance maximale de l'antenne n'était pas connue, respectivement pas limitée. Il suffisait de diviser la puissance apparente rayonnée ERPN par le facteur de correction KAA pour obtenir la puissance d'émission maximale ERPmax,n. S'agissant de la limitation de puissance automatique des antennes adaptatives détectant en permanence la puissance totale émise d'une antenne, il était renvoyé au complément du 23 février 2021 à la recommandation d'exécution de l'ORNI concernant les stations de base pour téléphonie mobile et raccordements sans fil.</w:t>
      </w:r>
    </w:p>
    <w:p>
      <w:r>
        <w:rPr>
          <w:b/>
        </w:rPr>
        <w:t>E. 17</w:t>
      </w:r>
    </w:p>
    <w:p>
      <w:r>
        <w:t>Le 15 janvier 2024, le département a également dupliqué, persisté dans ses conclusions et produit des pièces complémentaires. Suite aux affirmations de la recourante relatives à la puissance maximale des antennes adaptatives, il avait consulté l'OFEV, ainsi que le SABRA, qui l'ont tous deux renvoyé à la brochure « Explications concernant les antennes adaptatives et leur évaluation selon l'ORNI » du 23 février 2021 qui apportait une réponse (p. 22). Bien qu'il soit possible que la puissance d'émission maximum des antennes adaptatives puisse être dépassée sur une très courte période, le système mis en place par l'ORNI réduisait considérablement ce risque au vu du facteur de correction et de la limitation automatique de la puissance. Le système automatique calculait en permanence la moyenne mobile de la puissance émettrice des six dernières minutes. S'il était prévisible que cette moyenne courante dépasse la puissance autorisée, la puissance était réduite de telle sorte que la valeur moyenne restait en dessous du seul spécifié. Les pics de puissance de courte durée pouvaient atteindre au maximum une valeur ERPmax, correspondant à la puissance d'émission autorisée ERPn multipliée par la réciproque du facteur de correction. Avec un facteur de correction de 0,1 la valeur de pointe de la puissance émettrice pouvait être au maximum dix fois supérieure à la valeur déclarée. L'intensité des pics de puissance de courte durée restait considérablement en deçà de la valeur sur laquelle se basaient les VLInst. Les VLInst figurant à l'annexe 2, ch. 11, al. 1 ORNI devaient être respectées, la durée d'appréciation étant de six minutes. Lorsque des pics de puissance se produisaient, la limitation de puissance automatiques diminuait la puissance émise de sorte que, en exploitation, la puissance émise moyenne sur une durée de six minutes n'excédait pas la puissance émise corrigée. Ainsi, au cours des périodes où la limitation de puissance automatique était activée, cette dernière permettait de garantir que l'exposition d'un LUS précis ne dépassait pas un dixième de la VLInst. Le Tribunal fédéral avait retenu que le Conseil fédéral, en fixant des VLInst, avait créé une marge de sécurité par rapport aux dangers avérés pour la santé.</w:t>
      </w:r>
    </w:p>
    <w:p>
      <w:r>
        <w:rPr>
          <w:b/>
        </w:rPr>
        <w:t>E. 18</w:t>
      </w:r>
    </w:p>
    <w:p>
      <w:r>
        <w:t>Selon le rapport de novembre 2019 du groupe de travail « Téléphonie et rayonnement » mandaté par le DETEC, qui prend en considération les rapports d'évaluation publiés depuis 2014, aucun effet sanitaire n'a été prouvé de manière cohérente en dessous des valeurs limite fixées dans l'ORNI pour les fréquences de téléphonie mobile utilisées actuellement. Le groupe de travail a constaté que les éléments de preuves demeuraient insuffisants (DETEC, Rapport « Téléphonie mobile et rayonnement » du 18 novembre 2019, p. 8-9). Il en découle qu'en l'état actuel des connaissances scientifiques, il n'est pas possible d'invoquer le principe de prévention pour s'opposer à la technologie 5G, dès lors que les valeurs limite prévues par l'ORNI sont concrètement respectées (ATA/415/2022 du 26 avril 2022 consid. 6).</w:t>
      </w:r>
    </w:p>
    <w:p>
      <w:r>
        <w:rPr>
          <w:b/>
        </w:rPr>
        <w:t>E. 19</w:t>
      </w:r>
    </w:p>
    <w:p>
      <w:r>
        <w:t>Par ailleurs, la Cour européenne des droits de l’homme a en particulier confirmé, sous l’angle de l’art. 8 de la Convention de sauvegarde des droits de l’homme et des libertés fondamentales du 4 novembre 1950 (CEDH - RS 0.101),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du 14 avril 2020 consid. 5.1.1).</w:t>
      </w:r>
    </w:p>
    <w:p>
      <w:r>
        <w:rPr>
          <w:b/>
        </w:rPr>
        <w:t>E. 20</w:t>
      </w:r>
    </w:p>
    <w:p>
      <w:r>
        <w:t>De surcroît, le 24 mai 2022, l’OFEV a publié un rapport fédéral relatif aux mesures d’exposition aux rayonnements non ionisants occasionnés par les antennes 5G (Mesures d’exposition aux rayonnements non ionisants, Rapport annuel 2021, Consortium de projet SwissNIS ; ci-après : le rapport annuel 2021 sur la 5G). Ce rapport décrit, d’une part, le concept de base et le mode de collecte des données et présente, d’autre part, les premiers résultats des mesures effectuées. Il en ressort que les valeurs mesurées sont nettement inférieures aux valeurs limites, déterminantes en ce qui concerne les effets sur la santé (p. 58).</w:t>
      </w:r>
    </w:p>
    <w:p>
      <w:r>
        <w:rPr>
          <w:b/>
        </w:rPr>
        <w:t>E. 21</w:t>
      </w:r>
    </w:p>
    <w:p>
      <w:r>
        <w:t>Dans le domaine du rayonnement non ionisant, la limitation dite préventive - qui doit être ordonnée en premier lieu, indépendamment des nuisances existantes - est reprise à l’art. 4 al. 1 ORNI. Cette limitation fait l’objet d’une réglementation détaillée à l’annexe 1 de l’ORNI (par renvoi de l’art. 4 al. 1 ORNI), laquelle fixe notamment, pour les stations émettrices pour téléphonie mobile et raccordements</w:t>
      </w:r>
    </w:p>
    <w:p>
      <w:r>
        <w:t>- 12/17 - A/2577/2023 téléphoniques sans fils (ch. 6 annexe 1 ORNI), les VLInst mentionnées plus haut (ch. 64 annexe 1 ORNI).</w:t>
      </w:r>
    </w:p>
    <w:p>
      <w:r>
        <w:rPr>
          <w:b/>
        </w:rPr>
        <w:t>E. 22</w:t>
      </w:r>
    </w:p>
    <w:p>
      <w:r>
        <w:t>Selon la jurisprudence du Tribunal fédéral, l’étendue de la limitation préventive des émissions selon l’art. 4 al. 1 ORNI est déterminée de manière exhaustive avec l’édiction des VLInst , raison pour laquelle les autorités appliquant la loi ne peuvent pas exiger une limitation supplémentaire dans des cas individuels sur la base de l’art. 12 al. 2 LPE (ATF 133 II 64 consid. 5.2 ; arrêts du Tribunal fédéral 1A_251/2002 du 24 octobre 2003 consid. 4 ; 1A.10/2001 du 8 avril 2002 consid. 2.2 ; Joel DRITTENBASS, op. cit., p. 141-142).</w:t>
      </w:r>
    </w:p>
    <w:p>
      <w:r>
        <w:rPr>
          <w:b/>
        </w:rPr>
        <w:t>E. 23</w:t>
      </w:r>
    </w:p>
    <w:p>
      <w:r>
        <w:t>Au sens de l’art. 12 al. 2 ORNI, pour vérifier si la VLInst, au sens de l’annexe 1, n’est pas dépassée, l’autorité procède ou fait procéder à des mesures ou à des calculs, ou se base sur des données provenant de tiers. L’OFEV recommande des méthodes de mesure et de calcul appropriées.</w:t>
      </w:r>
    </w:p>
    <w:p>
      <w:r>
        <w:rPr>
          <w:b/>
        </w:rPr>
        <w:t>E. 24</w:t>
      </w:r>
    </w:p>
    <w:p>
      <w:r>
        <w:t>Sur cette base, l’OFEV a publié le 23 février 2021 un document intitulé « Explications concernant les antennes adaptatives et leur évaluation selon l’ordonnance sur la protection contre le rayonnement non ionisant (ORNI) » (ci-après: explications OFEV). Il y est expressément indiqué (p. 3) que l’ORNI s’applique aussi bien à la technologie de téléphonie mobile de type 2G (GSM), 3G (UMTS), 4G (LTE) ou 5G (New Radio). Au sujet de la limitation automatique de la puissance des installations adaptatives, il y est précisé qu'il s'agit d'une application logicielle implémentée sur l’antenne qui détecte en permanence la puissance totale de l’antenne adaptative émise dans un secteur radio. Si, sur de courtes périodes, des pics de puissance supérieurs à la puissance d’émission se produisent, la puissance est réduite de telle sorte que la puissance émettrice moyenne sur une période de six minutes ne dépasse pas la puissance d’émission déclarée. S’il est prévisible que cette moyenne puisse dépasser la puissance autorisée, la puissance est réduite de telle sorte que la valeur moyenne reste sûrement en dessous du seuil spécifié. Les pics de puissance de courte durée peuvent atteindre au maximum une valeur ERPmax,n correspondant à la puissance d’émission autorisée ERPn multipliée par la réciproque du facteur de correction. Avec un facteur de correction de 0,1, la valeur de pointe de la puissance émettrice peut être au maximum dix fois supérieure à la valeur déclarée.</w:t>
      </w:r>
    </w:p>
    <w:p>
      <w:r>
        <w:rPr>
          <w:b/>
        </w:rPr>
        <w:t>E. 25</w:t>
      </w:r>
    </w:p>
    <w:p>
      <w:r>
        <w:t>Également le 23 février 2021, l’OFEV a publié un complément à la recommandation d’exécution de l’ordonnance sur la protection contre le rayonnement non ionisant concernant les stations de base pour téléphonie mobile et raccordements sans fil (WLL) de 2002 (ci-après: le complément). Avant la publication du complément, des antennes adaptatives avaient été autorisées sur la base du scénario du pire. Le complément définissait désormais comment les paramètres techniques des antennes adaptatives devaient être déclarés dans la fiche de données spécifique au site et comment leur contribution à l’intensité du champ électrique de l’installation de téléphonie mobile devait être calculée. Il</w:t>
      </w:r>
    </w:p>
    <w:p>
      <w:r>
        <w:t>- 13/17 - A/2577/2023 indiquait en outre comment les antennes adaptatives devaient être contrôlées dans les systèmes d’assurance de la qualité utilisés par les opérateurs (complément, p. 6). Il y était aussi précisé que conformément à l’annexe 1 ch. 63 de l’ORNI révisée, le mode d’exploitation déterminant pour les antennes adaptatives correspondait également au mode d’exploitation dans lequel un maximum de conversations et de données était transféré, l’émetteur étant au maximum de sa puissance. En raison des propriétés spécifiques des antennes adaptatives, la variabilité des directions d’émission et des diagrammes d’antenne devait également être prise en considération. Concrètement, il fallait aussi tenir compte du fait que les antennes adaptatives ne pouvaient pas émettre en même temps à la puissance d’émission maximale possible dans toutes les directions, ce qui correspondait au scénario du pire. Dans la réalité, la puissance d’émission était répartie pour les signaux qui étaient émis dans différentes directions. En outre, conformément à l’annexe 1 ch. 64 ORNI, dans un LUS, la preuve par calcul du respect de la VLInst était fournie comme auparavant au moyen de la fiche complémentaire 4a de la fiche de données spécifique au site (complément, p. 7 ss).</w:t>
      </w:r>
    </w:p>
    <w:p>
      <w:r>
        <w:rPr>
          <w:b/>
        </w:rPr>
        <w:t>E. 26</w:t>
      </w:r>
    </w:p>
    <w:p>
      <w:r>
        <w:t>Une nouvelle installation de radiocommunications mobiles et son exploitation ne pouvaient être approuvées que si, sur la base d’une prévision mathématique, il était assuré que les valeurs limites fixées par l’ORNI pouvaient probablement être respectées (art. 4 ss ORNI). La base de ce calcul était la fiche de données spécifique au site que devait remettre le propriétaire de l’installation projetée (art. 11 al. 1 ORNI). Celle-ci devait contenir les données techniques et opérationnelles actuelles et prévues de l’installation, dans la mesure où celles-ci étaient déterminantes pour l’émission de rayonnements (art. 11 al. 2 let. a ORNI). Cela incluait notamment la puissance ERP (art. 3 al. 9 ORNI), y compris la direction du faisceau principal des antennes, et si l’antenne fonctionnait en mode adaptatif ou non. Les données correspondantes servaient de bases pour le permis de construire et étaient contraignantes pour l’opérateur ; toute augmentation de l’ERP au-delà de la valeur maximale autorisée et toute direction de transmission au-delà du domaine angulaire autorisé était considérée comme un changement de l’installation, ayant pour conséquence qu’une nouvelle fiche de données spécifique au site devait être présentée (annexe 1 ch. 62 al. 5 let. d et e ORNI ; ATF 128 II 378 [arrêt 1A.264/2000 du 24 septembre 2002] consid. 8.1, non publié). La fiche de données du site devait également contenir des informations sur le lieu accessible où ce rayonnement était le plus fort, sur les trois LUS où ce rayonnement était le plus fort, et sur tous les LUS où la valeur limite de l’installation au sens de l’annexe 1 était dépassée (art. 11 al. 2 let. c ORNI).</w:t>
      </w:r>
    </w:p>
    <w:p>
      <w:r>
        <w:rPr>
          <w:b/>
        </w:rPr>
        <w:t>E. 27</w:t>
      </w:r>
    </w:p>
    <w:p>
      <w:r>
        <w:t>Il était vrai que la prévision calculée qui devait être faite sur la base de ces informations était sujette à certaines incertitudes, car elle prenait en compte les principaux facteurs d’influence mais ne tenait pas compte de toutes les subtilités de la propagation du rayonnement. Cependant, le Tribunal fédéral avait précisé que dans ce calcul, l’incertitude de mesure ne devait être ni ajoutée ni déduite. Seuls les</w:t>
      </w:r>
    </w:p>
    <w:p>
      <w:r>
        <w:t>- 14/17 - A/2577/2023 valeurs mesurées devaient être prises en compte (arrêts du Tribunal fédéral 1C_653/2013 du 12 août 2014 consid. 3.4; 1C_132/2007 du 30 janvier 2008 consid. 4.4-4.6 in RDAF 2009 I 536). En effet, c’était pour prendre en compte cette incertitude que des mesures de réception devaient être effectuées après la mise en service de l’installation si, selon la prévision calculée, 80 % de la valeur limite de l’installation était atteinte à un LUS (complément recommandation OFEV, ch. 2.1.8 ; Benjamin WITTWER, Bewilligung von Mobilfunkanlagen, 2e éd., 2008, p. 61 s. ; arrêt du Tribunal fédéral 1A.148/2002 du 12 août 2003 consid. 4.3.1 s.). Si, sur la base de ces mesures, il s’avérait que la VLInst était dépassée lors du fonctionnement, la puissance d’émission maximale admissible devait être redéfinie et le respect des valeurs prescrites devait être démontré par des mesures supplémentaires (arrêt du tribunal fédéral 1C_681/2017 du 1er décembre 2019 consid. 4.5). De surcroît, le risque d’un pronostic erroné était supporté par le maître d’ouvrage dans la mesure où il pouvait encore être amené à prendre des mesures pour assurer le respect des valeurs limites ultérieurement, c’est-à-dire après la mise en service de l’installation (ATF 130 II 32 consid. 2.4).</w:t>
      </w:r>
    </w:p>
    <w:p>
      <w:r>
        <w:rPr>
          <w:b/>
        </w:rPr>
        <w:t>E. 28</w:t>
      </w:r>
    </w:p>
    <w:p>
      <w:r>
        <w:t>De surcroît, il sied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B______ a mis en place un tel système de sécurité, dont les nouveaux paramètres relatifs aux antennes adaptatives ont été validé par l’OFCOM le 23 juin 2021.</w:t>
      </w:r>
    </w:p>
    <w:p>
      <w:r>
        <w:rPr>
          <w:b/>
        </w:rPr>
        <w:t>E. 29</w:t>
      </w:r>
    </w:p>
    <w:p>
      <w:r>
        <w:t>Le Tribunal fédéral a reconnu le système d’assurance qualité comme un instrument de contrôle performant et n’a pas considéré nécessaire de recourir à un contrôle par des mesures de construction (arrêt 1C_282/2008 du 7 avril 2009 consid. 3.5).</w:t>
      </w:r>
    </w:p>
    <w:p>
      <w:r>
        <w:rPr>
          <w:b/>
        </w:rPr>
        <w:t>E. 30</w:t>
      </w:r>
    </w:p>
    <w:p>
      <w:r>
        <w:t>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(arrêt 1A.134/2003 du 5 avril 2004 consid. 3.2, in DEP 2004 p. 228).</w:t>
      </w:r>
    </w:p>
    <w:p>
      <w:r>
        <w:rPr>
          <w:b/>
        </w:rPr>
        <w:t>E. 31</w:t>
      </w:r>
    </w:p>
    <w:p>
      <w:r>
        <w:t>Dans sa jurisprudence récente, le Tribunal fédéral a nié une violation du principe de précaution au sens du droit de l’environnement, relevant que les prévisions du rayonnement établies de manière arithmétique n’étaient pas critiquables et que tant la méthode de mesure recommandée par la Confédération que le système d’assurance de la qualité s’avéraient appropriés (arrêts 1C_100/2021 du 14 février 2023 ; 1C_153/2022 du 11 avril 2023).</w:t>
      </w:r>
    </w:p>
    <w:p>
      <w:r>
        <w:rPr>
          <w:b/>
        </w:rPr>
        <w:t>E. 32</w:t>
      </w:r>
    </w:p>
    <w:p>
      <w:r>
        <w:t>Enfin, selon une jurisprudence bien établie, le tribunal de céans observe une certaine retenue pour éviter de substituer sa propre appréciation à celle des commissions de</w:t>
      </w:r>
    </w:p>
    <w:p>
      <w:r>
        <w:t>- 15/17 - A/2577/2023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(ATA/332/2022 du 29 mars 2022 consid. 4b ; ATA/1098/2019 du 25 juin 2019 consid. 2e).</w:t>
      </w:r>
    </w:p>
    <w:p>
      <w:r>
        <w:rPr>
          <w:b/>
        </w:rPr>
        <w:t>E. 33</w:t>
      </w:r>
    </w:p>
    <w:p>
      <w:r>
        <w:t>En l’espèce, d’après la fiche de données spécifique au site du 7 janvier 2022, la VLInst à respecter est celle prévue à l’art. 3 al. 3 let. c ORNI, soit 5 V/m, ce que ne conteste au demeurant pas la recourante. S’agissant du rayonnement dans les LUS les plus chargés, ils présentent tous une intensité de champ électrique inférieure à cette VLInst fixée à 5.0 V/m. Ces mesures ont été vérifiées par le SABRA, autorité spécialisée compétente, sans que celui-ci n’ait mis en doute leur véracité. En l’absence d’éléments indiquant le contraire, il n’y a pas lieu pour le tribunal de céans de les remettre en cause, étant rappelé que, conformément à la jurisprudence mentionnée ci-dessus, il appartient au tribunal d’observer une certaine retenue afin d’éviter de substituer sa propre appréciation à celle des instances spécialisées lorsque l’autorité inférieure a suivi l’avis de celles-ci, ce qui est le cas en l’espèce, étant en outre rappelé que l’ensemble des autres instances spécialisées consultées se sont également prononcées favorablement. Globalement, la procédure suivie par le département n’est pas critiquable. Le permis de construire garantit le respect des valeurs limites pertinentes, notamment par le biais des conditions associées comprises dans le préavis du SABRA, soit des mesurages par l’exploitant de l’installation lors de la réception et l’intégration des antennes de l’installation dans son système d'assurance qualité afin de permettre de surveiller les données d’exploitation. C’est précisément le mécanisme de contrôle rétrospectif qui garantit que les calculs effectués à l’avance pourront être corrigés si nécessaire et au cas où la réalité ultérieure ne correspondrait pas aux hypothèses prévues. Il sied à cet égard de préciser que la jurisprudence du Tribunal fédéral est claire. La limitation préventive des émissions prévues par l’ORNI est déterminée de manière exhaustive avec l’édiction des VLInst, sans que le département ne puisse exiger une limitation supplémentaire dans un cas individuel. Ainsi, en octroyant l’autorisation de construire sur la base de la prévision que l’installation respecterait les VLInst , moyennant les réserves émises dans le préavis du SABRA, la décision du département est conforme au droit fédéral. L’allégation de la recourante selon laquelle la puissance maximale à laquelle les antennes adaptatives concernées pourraient émettre serait inconnue dans la mesure où elle ne serait pas limitée, ne saurait conduire à une autre conclusion. Il est certes possible que la puissance d'émission maximum puisse être dépassée sur une très courte période, le système mis en place par l'ORNI réduit toutefois le risque d'atteinte, au vu du facteur de correction et de la limitation automatique de la</w:t>
      </w:r>
    </w:p>
    <w:p>
      <w:r>
        <w:t>- 16/17 - A/2577/2023 puissance. Par ailleurs, dans les LUS, les installations doivent toujours respecter la VLInst. Il ressort des développements qui précèdent que les valeurs fixées par les dispositions légales et réglementaires applicables, dont le bien-fondé a été confirmé par la jurisprudence fédérale, sont remplies dans le cas d'espèce. S’agissant des études citées par la recourante, elles ne permettent pas de remettre en cause l'autorisation délivrée, dans la mesure où, conformément à la jurisprudence exposée ci-dessus, le Tribunal fédéral a considéré qu’il n’existait, en l’état, pas d’indices suffisants permettant de retenir que l’utilisation d’antennes adaptatives conformément au cadre légal et réglementaire en vigueur présenterait un risque pour la santé. Quant aux inquiétudes de la recourante au sujet des effets des antennes 5G sur le corps humain, plus spécifiquement sur les enfants et adolescents fréquentant la crèche, l'école primaire et le cycle d'orientation se situant à proximité de l'installation, elle entend en substance démontrer que les ondes électromagnétiques induites par les antennes téléphoniques litigieuses présentent un risque pour la santé. Or, il est constant que le corps humain est sensible aux champs électromagnétiques, la question étant de savoir quelle intensité d’exposition peut être jugée acceptable, notamment pour les enfants. Par conséquent, les généralités sur les effets des champs électromagnétiques induits par les antennes de téléphonie mobile - aussi pertinentes soient-elles - n’apportent rien au débat sur la valeur probante - même relative - des nombreuses études scientifiques menées jusqu’ici et ne délégitiment pas les valeurs limites fixées par l’ordonnance, ce d’autant plus que les valeurs mesurées sont inférieures aux valeurs limites, déterminantes en ce qui concerne les effets sur la santé.</w:t>
      </w:r>
    </w:p>
    <w:p>
      <w:r>
        <w:rPr>
          <w:b/>
        </w:rPr>
        <w:t>E. 34</w:t>
      </w:r>
    </w:p>
    <w:p>
      <w:r>
        <w:t>Les griefs sont ainsi écartés.</w:t>
      </w:r>
    </w:p>
    <w:p>
      <w:r>
        <w:rPr>
          <w:b/>
        </w:rPr>
        <w:t>E. 35</w:t>
      </w:r>
    </w:p>
    <w:p>
      <w:r>
        <w:t>Mal fondé, le recours sera rejeté.</w:t>
      </w:r>
    </w:p>
    <w:p>
      <w:r>
        <w:rPr>
          <w:b/>
        </w:rPr>
        <w:t>E. 36</w:t>
      </w:r>
    </w:p>
    <w:p>
      <w:r>
        <w:t>En application des art. 87 al. 1 LPA et 1 et 2 du règlement sur les frais, émoluments et indemnités en procédure administrative du 30 juillet 1986 (RFPA - E 5 10.03), la recourante, qui succombe, est condamnée au paiement d’un émolument s’élevant à CHF 900.- ; il est couvert par l’avance de frais versée à la suite du dépôt du recours.</w:t>
      </w:r>
    </w:p>
    <w:p>
      <w:r>
        <w:rPr>
          <w:b/>
        </w:rPr>
        <w:t>E. 37</w:t>
      </w:r>
    </w:p>
    <w:p>
      <w:r>
        <w:t>N’ayant pas fait appel à un mandataire externe, aucune indemnité de procédure ne sera allouée à B______ (art. 87 al. 2 à 4 LPA et 6 RFPA).</w:t>
      </w:r>
    </w:p>
    <w:p>
      <w:r>
        <w:t>- 17/17 - A/2577/2023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