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JTAPI/487/2022 vom 11. Mai 2022</w:t>
      </w:r>
    </w:p>
    <w:p>
      <w:r>
        <w:t>GE Cour de justice, 2022-05-11, FR</w:t>
      </w:r>
    </w:p>
    <w:p>
      <w:r>
        <w:rPr>
          <w:b/>
        </w:rPr>
        <w:t xml:space="preserve">Quelle: </w:t>
      </w:r>
      <w:r>
        <w:t>https://mcp.opencaselaw.ch/entscheid/ge_gerichte_JTAPI_487_2022</w:t>
      </w:r>
    </w:p>
    <w:p>
      <w:r>
        <w:t>FR: GE_GERICHTE JTAPI/487/2022 du 11 mai 2022</w:t>
      </w:r>
    </w:p>
    <w:p>
      <w:r>
        <w:t>IT: GE_GERICHTE JTAPI/487/2022 del 11 maggio 2022</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la destinataire de la décision querellée,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w:t>
      </w:r>
    </w:p>
    <w:p>
      <w:r>
        <w:t>- 5/8 - A/2191/2021 prendre, dans son mémoire de recours, des conclusions qui sortent du cadre des questions traitées dans la procédure antérieure (ATA/85/2022 du 1er février 2022 consid. 3a ; ATA/376/2016 du 3 mai 2016 consid. 2b et les références citées).</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6</w:t>
      </w:r>
    </w:p>
    <w:p>
      <w:r>
        <w:t>Selon l'art. 64 al. 1 let. c LEI, les autorités compétentes rendent une décision de renvoi ordinaire à l'encontre d'un étranger auquel l'autorisation de séjour est refusée ou dont l'autorisation n'est pas prolongée.</w:t>
      </w:r>
    </w:p>
    <w:p>
      <w:r>
        <w:rPr>
          <w:b/>
        </w:rPr>
        <w:t>E. 7</w:t>
      </w:r>
    </w:p>
    <w:p>
      <w:r>
        <w:t>En l'occurrence, la recourante ne remet en cause ni le refus du renouvellement de son titre de séjour, ni la mesure de renvoi ordonnée à son égard, étant rappelé à toutes fins utiles que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Elle conteste uniquement le délai de départ que l'OCPM lui a imparti dans la décision querellée, dont elle a sollicité la prolongation.</w:t>
      </w:r>
    </w:p>
    <w:p>
      <w:r>
        <w:rPr>
          <w:b/>
        </w:rPr>
        <w:t>E. 8</w:t>
      </w:r>
    </w:p>
    <w:p>
      <w:r>
        <w:t>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La garantie d'un délai de départ raisonnable doit permettre à la personne concernée de résilier, selon les exigences légales, sa place de travail et son logement, de mener à bien les autres formalités de départ et de préparer son arrivée dans le pays d'origine. Il faut s'assurer en particulier que les enfants d'âge scolaire puissent au moins achever le semestre d'école entamé en Suisse. Des problèmes de santé peuvent aussi justifier un délai de départ plus long. Sous l'angle du principe de la proportionnalité, plus la durée du séjour est longue, plus le délai de départ devrait être généreux. A l'inverse, un délai de départ plus court peut se justifier lorsque la personne savait depuis longtemps qu'elle courait un risque sérieux d'être obligé de quitter la Suisse. Par ailleurs, lorsqu'un recours dirigé contre une décision de renvoi bénéficie de l'effet suspensif - autorisant l'étranger concerné à attendre en Suisse l'issue de la procédure -, son rejet</w:t>
      </w:r>
    </w:p>
    <w:p>
      <w:r>
        <w:t>- 6/8 - A/2191/2021 n'entraîne pas automatiquement la conversion du délai de départ imparti en renvoi immédiat, si ce délai est écoulé entre-temps. Un nouveau délai de départ doit être imparti, suivant les critères énoncés aux al. 1 et 2 de l'art. 64d LEI (cf. Danièle REVEY in Minh Son NGUYEN / Cesla AMARELLE [éd.], Code annoté de droit des migrations, Vol. II 8 (loi sur les étrangers), 2017, n. 6 p. 660 s.).</w:t>
      </w:r>
    </w:p>
    <w:p>
      <w:r>
        <w:rPr>
          <w:b/>
        </w:rPr>
        <w:t>E. 9</w:t>
      </w:r>
    </w:p>
    <w:p>
      <w:r>
        <w:t>En l'espèce, dans son recours, la recourante s'est prévalue de la procédure tendant au prononcé de son divorce, pendante dans le canton, pour obtenir la prolongation de son délai de départ de Suisse. Par la suite, elle a, dans le même but, invoqué sa grossesse, invoquant le fait qu’il lui était impossible de voyager. Or, son divorce a désormais été prononcé. De même, le terme de sa grossesse ayant été fixé aux alentours du 21 avril 2022, soit il y a plus de deux semaines, il apparaît vraisemblable qu'elle a désormais accouché. En tout état, lorsqu'elle a appris qu'elle était enceinte et dans les semaines suivantes, on ne voit pas ce qui l'aurait empêché de prendre l'avion. Pour le surplus, aucun élément supplémentaire ne laisse à penser qu’une quelconque problématique l'empêcherait désormais de retourner dans son pays, où elle a d’ailleurs le projet de vivre avec son enfant et le père de celui-ci, étant relevé que les certificats médicaux produits indiquaient qu’il était souhaitable qu'elle pût rester sur le territoire suisse « jusqu’à son accouchement ». Quoi qu'il en soit, le délai de départ fixé par l'OCPM dans la décision attaquée est écoulé. Celui-ci devra dès lors à impartir un nouveau délai de départ raisonnable à la recourante, tenant compte des circonstances, pour lui permettre de préparer convenablement son retour à Singapour. Cela étant, il sied de relever que le délai - d’un mois - imparti initialement à la recourante n'apparaissait pas disproportionné au moment où il a été fixé par l'OCPM. Un tel laps de temps aurait en soi permis à cette dernière d'accomplir sans réelle difficulté les formalités de son départ et de préparer son arrivée dans son pays d'origine. En outre, elle n’était pas sans ignorer, depuis février 2019 déjà, soit depuis la première demande de renseignements complémentaires que lui avait adressée l’OCPM, et au plus tard à réception du courrier de ce dernier du 21 septembre 2020, que sa requête de renouvellement faisait l’objet d’un examen, respectivement qu'elle ferait vraisemblablement l'objet d'un rejet, de sorte qu’il ne pouvait être exclu qu’elle serait amenée, à court ou moyen terme, à devoir quitter la Suisse, ce d'autant plus qu'elle était séparée de son ex-époux depuis plusieurs années et que son union conjugale avait durée moins de trois ans (cf. art. 50 al. 1 let. a LEI). Il convient aussi de souligner que la recourante n’était, à ce moment- là, pas encore enceinte. S’agissant de la procédure de divorce alors pendante en Suisse, elle aurait eu la possibilité de se faire représenter par un mandataire, si nécessaire en sollicitant l’assistance juridique, ce qu’elle ne démontre pas avoir tenté de faire.</w:t>
      </w:r>
    </w:p>
    <w:p>
      <w:r>
        <w:t>- 7/8 - A/2191/2021</w:t>
      </w:r>
    </w:p>
    <w:p>
      <w:r>
        <w:rPr>
          <w:b/>
        </w:rPr>
        <w:t>E. 10</w:t>
      </w:r>
    </w:p>
    <w:p>
      <w:r>
        <w:t>Partant, au vu de l'état de faits tel qu'il présentait au moment du dépôt du recours et tel qu'il se présente actuellement, ce dernier, en soi mal fondé, doit être rejeté, dans la mesure où il n'est pas à présent devenu sans objet.</w:t>
      </w:r>
    </w:p>
    <w:p>
      <w:r>
        <w:rPr>
          <w:b/>
        </w:rPr>
        <w:t>E. 11</w:t>
      </w:r>
    </w:p>
    <w:p>
      <w:r>
        <w:t>En application des art. 87 al. 1 LPA et 1 et 2 du règlement sur les frais, émoluments et indemnités en procédure administrative du 30 juillet 1986 (RFPA - E 5 10.03), un émolument de CHF 500.- sera mis à la charge de la recourante, qui succombe. Vu l'issue du litige, aucune indemnité de procédure ne lui sera allouée (art. 87 al. 2 LPA a contrario).</w:t>
      </w:r>
    </w:p>
    <w:p>
      <w:r>
        <w:rPr>
          <w:b/>
        </w:rPr>
        <w:t>E. 12</w:t>
      </w:r>
    </w:p>
    <w:p>
      <w:r>
        <w:t>En vertu des art. 89 al. 2 et 111 al. 2 de la loi sur le Tribunal fédéral du 17 juin 2005 (LTF - RS 173.110), le présent jugement sera communiqué au secrétariat d'État aux migrations.</w:t>
      </w:r>
    </w:p>
    <w:p>
      <w:r>
        <w:t>- 8/8 - A/2191/2021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