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JTAPI/484/2025 vom 8. Mai 2025</w:t>
      </w:r>
    </w:p>
    <w:p>
      <w:r>
        <w:t>GE Cour de justice, 2025-05-08, FR</w:t>
      </w:r>
    </w:p>
    <w:p>
      <w:r>
        <w:rPr>
          <w:b/>
        </w:rPr>
        <w:t xml:space="preserve">Quelle: </w:t>
      </w:r>
      <w:r>
        <w:t>https://mcp.opencaselaw.ch/entscheid/ge_gerichte_JTAPI_484_2025</w:t>
      </w:r>
    </w:p>
    <w:p>
      <w:r>
        <w:t>FR: GE_GERICHTE JTAPI/484/2025 du 8 mai 2025</w:t>
      </w:r>
    </w:p>
    <w:p>
      <w:r>
        <w:t>IT: GE_GERICHTE JTAPI/484/2025 del 8 maggio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la protection des monuments, de la nature et des sites du 4 juin 1976 (LPMNS - L 4 05) et du règlement sur la conservation de la végétation arborée du 27 octobre 1999 (RCVA - L 4 05.04) (art. 62 al. 2 LPMNS et 23 RCVA cum art. 6 al. 1 let. j du règlement sur l'organisation de l'administration cantonale du 1er juin 2018 - ROAC - B 4 05.10).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à titre de mesure d’instruction, la tenue d’un transport sur place.</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w:t>
      </w:r>
    </w:p>
    <w:p>
      <w:r>
        <w:t>- 6/12 - A/3621/2024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ni celui d’obtenir l’audition de témoins (ATF 130 II 425 consid. 2.1 ; arrêts du Tribunal fédéral 2C_725/2019 du 12 septembre 2019 consid. 4.1).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5</w:t>
      </w:r>
    </w:p>
    <w:p>
      <w:r>
        <w:t>En l’espèce, le tribunal estime que les documents et photographies versés au dossier ainsi que les outils informatiques à disposition, tels que le système d'information du territoire genevoise (SITG), notamment les photographies aériennes, et Google Earth, permettent de visualiser les arbres incriminés, la parcelle du recourant et le périmètre dans lequel elle s’insère. Partant, il n’entend pas procéder à la mesure d’instruction requise, en soi non obligatoire.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6.1</w:t>
      </w:r>
    </w:p>
    <w:p>
      <w:r>
        <w:t>et les références citées).</w:t>
      </w:r>
    </w:p>
    <w:p>
      <w:r>
        <w:rPr>
          <w:b/>
        </w:rPr>
        <w:t>E. 7</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8</w:t>
      </w:r>
    </w:p>
    <w:p>
      <w:r>
        <w:t>En matière administrative, les faits doivent en principe être établis d'office et, dans la mesure où l'on peut raisonnablement exiger de l'autorité qu'elle procède à cette recherche, les règles sur la répartition du fardeau de la preuve ne s'appliquent pas.</w:t>
      </w:r>
    </w:p>
    <w:p>
      <w:r>
        <w:t>- 7/12 - A/3621/2024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w:t>
      </w:r>
    </w:p>
    <w:p>
      <w:r>
        <w:rPr>
          <w:b/>
        </w:rPr>
        <w:t>E. 9</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1C_611/2020 du 10 mai 2021 consid. 2.3).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ATA/957/2020 du 29 septembre 2020 consid. 3c et les références citées).</w:t>
      </w:r>
    </w:p>
    <w:p>
      <w:r>
        <w:rPr>
          <w:b/>
        </w:rPr>
        <w:t>E. 10</w:t>
      </w:r>
    </w:p>
    <w:p>
      <w:r>
        <w:t>En procédure administrative, la constatation des faits est gouvernée par le principe de la libre appréciation des preuves (art. 20 al. 1 phr. 2 LPA ; ATF 139 II 185 consid. 9.2 ; 130 II 482 consid. 3.2 ; arrêt du Tribunal fédéral 2C_668/2011 du 12 avril 2011 consid. 3.3 ; ATA/791/2013 du 18 juillet 2023 consid. 6.1 et les références citées). Le juge forme ainsi librement sa conviction en analysant la force probante des preuves administrées et ce n'est ni le genre, ni le nombre des preuves qui est déterminant, mais leur force de persuasion (ATA/791/2013 précité consid.</w:t>
      </w:r>
    </w:p>
    <w:p>
      <w:r>
        <w:rPr>
          <w:b/>
        </w:rPr>
        <w:t>E. 11</w:t>
      </w:r>
    </w:p>
    <w:p>
      <w:r>
        <w:t>Les résultats issus d'une expertise privée réalisée sont soumis au principe de la libre appréciation des preuves et sont considérés comme des simples allégués de parties (ATF 142 II 355 consid. 6 ; Arrêt du Tribunal fédéral 1C_507/2022 du 13 juin 2022 consid. 3.2).</w:t>
      </w:r>
    </w:p>
    <w:p>
      <w:r>
        <w:rPr>
          <w:b/>
        </w:rPr>
        <w:t>E. 12</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1C_107/2016 du 28 juillet 2016 consid. 9 ; Thierry TANQUEREL, Manuel de droit administratif, 2ème éd., 2018, n. 515 p. 179).</w:t>
      </w:r>
    </w:p>
    <w:p>
      <w:r>
        <w:rPr>
          <w:b/>
        </w:rPr>
        <w:t>E. 13</w:t>
      </w:r>
    </w:p>
    <w:p>
      <w:r>
        <w:t>De façon générale, le tribunal observe une certaine retenue pour éviter de substituer sa propre appréciation à celle des instances de préavis spécialisées, pour autant que l’autorité inférieure suive l’avis de celles-ci. Il se limite à examiner si le</w:t>
      </w:r>
    </w:p>
    <w:p>
      <w:r>
        <w:t>- 8/12 - A/3621/2024 département ne s’écarte pas sans motif prépondérant du préavis de l’autorité technique consultative, composée de spécialistes capables d’émettre un jugement dépourvu de subjectivisme et de considérations étrangères aux buts de protection fixés par la loi (cf. not. ATA/636/2018 du 19 juin 2018 consid. 8c ; ATA/1274/2017 du 12 septembre 2017 consid. 5 ; ATA/318/2017 du 21 mars 2017 consid. 8c ; ATA/284/2016 du 5 avril 2016 consid. 7c ; ATA/86/2015 du 20 janvier 2015 ; ATA/694/2012 du 16 octobre 2012 et les références citées).</w:t>
      </w:r>
    </w:p>
    <w:p>
      <w:r>
        <w:rPr>
          <w:b/>
        </w:rPr>
        <w:t>E. 14</w:t>
      </w:r>
    </w:p>
    <w:p>
      <w:r>
        <w:t>L'OCAN est composé de spécialistes capables d’émettre un jugement dépourvu de subjectivisme et de considérations étrangères aux buts de protection fixés par la loi (cf. ATA/552/2013 du 27 août 2013 consid. 6b ; ATA/398/2013 du 25 juin 2013 consid. 6).</w:t>
      </w:r>
    </w:p>
    <w:p>
      <w:r>
        <w:rPr>
          <w:b/>
        </w:rPr>
        <w:t>E. 15</w:t>
      </w:r>
    </w:p>
    <w:p>
      <w:r>
        <w:t>Le recourant soutient que l’autorité intimée a procédé à une constatation inexacte ou incomplète des faits, en ne tenant pas compte de l’évolution défavorable de la situation intervenue entre la délivrance de l’autorisation de construire et le dépôt de la demande d’abattage des arbres. Il relève en particulier que le rapport de E______, établi postérieurement à l’autorisation de construire, n’a pas été pris en considération et que la situation nécessite par conséquent un nouvel examen.</w:t>
      </w:r>
    </w:p>
    <w:p>
      <w:r>
        <w:rPr>
          <w:b/>
        </w:rPr>
        <w:t>E. 16</w:t>
      </w:r>
    </w:p>
    <w:p>
      <w:r>
        <w:t>En l’espèce, le dossier transmis par le recourant à l’appui de sa demande d’abattage ne contenait pas le rapport précité. L’OCAN ne pouvait donc pas en tenir compte au moment de prononcer la décision querellée. Il appartient dès lors au recourant de supporter les conséquences de cette absence, de sorte qu’il ne saurait se prévaloir d’une constatation inexacte ou incomplète des faits en lien avec ledit rapport. Partant, ce grief doit être rejeté.</w:t>
      </w:r>
    </w:p>
    <w:p>
      <w:r>
        <w:rPr>
          <w:b/>
        </w:rPr>
        <w:t>E. 17</w:t>
      </w:r>
    </w:p>
    <w:p>
      <w:r>
        <w:t>Le recourant fait valoir que les fissures affectant sa maison sont la conséquence d’une déstabilisation de l’ouvrage, elle-même provoquée par une diminution du taux d’humidité du sol. Il attribue cette baisse d’humidité à l’extension du système racinaire des arbres sous les fondations de la villa, liée à leur bon état sanitaire. Leur feuillage important bouchait par ailleurs en permanence les chenaux de sa maison, provoquant des accumulations d’eau qui favorisaient la prolifération de moustiques tigres. Un traitement efficace de la prolifération de bambous dans son jardin était enfin empêché en raison de leur proximité avec les racines desdits arbres. Cette situation était susceptible de nécessiter d’importants travaux de remise à niveau et de stabilisation du sol et il était déraisonnable d’exiger qu’il monte quotidiennement sur son toit pour déboucher les chenaux, ainsi que recommandé par le canton de Genève. Si les arbres ne constituaient vraisemblablement pas l’unique facteur d’instabilité de la maison, c’était cependant le seul sur lequel une intervention était envisageable. En ne prenant pas en considération ces éléments et en ne procédant pas à une véritable pesée des intérêts en cause, le département avait abusé de son pouvoir d’appréciation dans l’application de l’art. 3 al. 1 RCVA.</w:t>
      </w:r>
    </w:p>
    <w:p>
      <w:r>
        <w:rPr>
          <w:b/>
        </w:rPr>
        <w:t>E. 18</w:t>
      </w:r>
    </w:p>
    <w:p>
      <w:r>
        <w:t>La LPMNS a notamment pour but d’assurer la sauvegarde de la nature, en ménageant l’espace vital nécessaire à la flore et à la faune, et en maintenant les milieux naturels (art. 1 let. c LPMNS).</w:t>
      </w:r>
    </w:p>
    <w:p>
      <w:r>
        <w:t>- 9/12 - A/3621/2024</w:t>
      </w:r>
    </w:p>
    <w:p>
      <w:r>
        <w:rPr>
          <w:b/>
        </w:rPr>
        <w:t>E. 19</w:t>
      </w:r>
    </w:p>
    <w:p>
      <w:r>
        <w:t>Sont protégés conformément à la loi, les sites et paysages, espèces végétales et minéraux qui présentent un intérêt biologique, scientifique, historique, esthétique ou éducatif (art. 35 al. 1 LPMNS). À teneur de l'art. 36 al. 1 LPMNS, le Conseil d’État édicte les dispositions nécessaires à la protection, la conservation et l’aménagement des sites visés à l’art. 35 LPMNS. Il peut n’autoriser que sous condition ou même interdire l'abattage, l’élagage ou la destruction de certaines essences d’arbres, de cordons boisés, de boqueteaux, buissons ou de haies vives (art. 36 al. 2 let. a LPMNS).</w:t>
      </w:r>
    </w:p>
    <w:p>
      <w:r>
        <w:rPr>
          <w:b/>
        </w:rPr>
        <w:t>E. 20</w:t>
      </w:r>
    </w:p>
    <w:p>
      <w:r>
        <w:t>En application de l'art. 35 al. 1 LPMNS, le Conseil d’État a adopté le règlement sur la conservation de la végétation arborée du 27 octobre 1999 (RCVA - L 4 05.04),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w:t>
      </w:r>
    </w:p>
    <w:p>
      <w:r>
        <w:rPr>
          <w:b/>
        </w:rPr>
        <w:t>E. 21</w:t>
      </w:r>
    </w:p>
    <w:p>
      <w:r>
        <w:t>Selon l’art. 3 al. 1 RCVA, aucun arbre ne peut être abattu ou élagué, ni aucune haie vive ou aucun boqueteau coupé ou défriché, sans autorisation préalable du département, sous réserve de l’al. 2, non pertinent en l'occurrence. L’autorisation d’abattage d’arbres ou de défrichage de haies vives et de boqueteaux est assortie, en principe, de l’obligation de réaliser des mesures compensatoires (art. 15 al.1 RCVA).</w:t>
      </w:r>
    </w:p>
    <w:p>
      <w:r>
        <w:rPr>
          <w:b/>
        </w:rPr>
        <w:t>E. 22</w:t>
      </w:r>
    </w:p>
    <w:p>
      <w:r>
        <w:t>Le département édicte des directives en matière de sauvegarde des végétaux maintenus, de leur mise en valeur et de l’exécution correcte des mesures compensatoires (art. 16 RCVA). La directive d'août 2008 concernant la conservation des arbres (ci-après : la directive) précise les règles décisionnelles en matière de conservation du patrimoine arboré et vise à assurer la protection des arbres en place et simultanément le renouvellement du patrimoine arboré (art. 1 de la directive). La décision de maintenir un arbre est prise lorsque l’intérêt de maintien prime sur les motifs d’abattage et celle d'abattage seulement si des motifs valables empêchent le maintien de l'arbre (art. 2 de la directive). Les critères de maintien sont évalués en relation directe avec l'espèce par une personne qualifiée du département du territoire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w:t>
      </w:r>
    </w:p>
    <w:p>
      <w:r>
        <w:t>- 10/12 - A/3621/2024 Est qualifié d'« élément majeur du paysage », un arbre ou un ensemble d'arbres exceptionnel par son implantation et son intérêt sur la perception d'un site.</w:t>
      </w:r>
    </w:p>
    <w:p>
      <w:r>
        <w:rPr>
          <w:b/>
        </w:rPr>
        <w:t>E. 23</w:t>
      </w:r>
    </w:p>
    <w:p>
      <w:r>
        <w:t>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(ATA/552/2013 du 27 août 2013 ; ATA/398/2013 du 25 juin 2013 ; ATA/114/2010 du 16 février 2010).</w:t>
      </w:r>
    </w:p>
    <w:p>
      <w:r>
        <w:rPr>
          <w:b/>
        </w:rPr>
        <w:t>E. 24</w:t>
      </w:r>
    </w:p>
    <w:p>
      <w:r>
        <w:t>En l’espèce, le tribunal retiendra, à la lumière des pièces du dossier et du préavis de l’OCAN que les arbres en question sont des éléments majeurs du paysage. Ils sont en effet de très grandes tailles, ce qui les rend visibles depuis plusieurs points de vue sur le domaine public, et force est d’admettre que leur silhouette s’impose de manière claire. Leur valeur écosystémique apparaît incontestable et l’image paysagère sera totalement modifiée s’ils sont abattus. Dans ces conditions, faisant application de la retenue qui doit être la sienne dans de tels cas, le tribunal fera sien l’avis du service spécialisé, selon lequel les épicéas et le faux-cyprès doivent être considérés comme des éléments marquants du paysage à conserver, sous réserve de motifs valables qui empêcheraient leur maintien. A cet égard, s’agissant tout d’abord des fissures, le tribunal constate qu’il ne ressort pas des pièces du dossier, en particulier des constats et du rapport d’expertise de E______, qu’un lien de causalité serait établi entre ces dernières et les arbres litigieux. Les conclusions du rapport d’expertise évoquent en effet des hypothèses selon lesquelles les arbres « peuvent » être, « entre autres causes », à l’origine d’un/e déstabilisation / basculement des fondations de la construction, et, partant, des fissures. Parmi ces autres causes, sont notamment citées les variations climatiques et la nature des fondations historiques. Dans ces conditions, ni les fissures ni la déstabilisation des fondements de la maison, sans lien établi avec la présence des arbres incriminés, ne sauraient constituer un motif suffisant et/ou une cause prépondérante pour en justifier l’abattage ou leur remplacement, étant rappelé le rôle essentiel d’arbres de cette taille, par ailleurs en parfait état sanitaire, dans la régulation climatique, la préservation de la biodiversité et l’amélioration de la qualité de vie urbaine, ainsi que l’a rappelé notamment l’OCAN dans son courrier du 20 décembre 2024. Il n’en va pas différemment de la prolifération des moustiques tigres et des bambous qui seraient une autre conséquence de la présence des arbres incriminés, le lien de causalité n’étant à nouveau pas établi et des solutions moins radicales pouvant facilement être mises en œuvre, à moindre frais, ainsi notamment l’entretien régulier des chenaux tel que recommandé par le canton. Au vu de ce qui précède le tribunal retiendra dès lors que le recourant n’est pas parvenu à démontrer qu’il se justifierait d’abattre les trois épicéas ainsi que le faux</w:t>
      </w:r>
    </w:p>
    <w:p>
      <w:r>
        <w:t>- 11/12 - A/3621/2024 cyprès en raison de dangers et/ou d’atteinte sur les biens occasionnés par ces derniers. Le refus de l’autorité intimée est donc parfaitement justifié. Mal fondé, le recours sera rejeté et la décision querellée confirmée.</w:t>
      </w:r>
    </w:p>
    <w:p>
      <w:r>
        <w:rPr>
          <w:b/>
        </w:rPr>
        <w:t>E. 25</w:t>
      </w:r>
    </w:p>
    <w:p>
      <w:r>
        <w:t>En application des art. 87 al. 1 LPA et 1 et 2 du règlement sur les frais, émoluments et indemnités en procédure administrative du</w:t>
      </w:r>
    </w:p>
    <w:p>
      <w:r>
        <w:rPr>
          <w:b/>
        </w:rPr>
        <w:t>E. 30</w:t>
      </w:r>
    </w:p>
    <w:p>
      <w:r>
        <w:t>juillet 1986 (RFPA - E 5 10.03), le recourant, qui succombe, est condamnée au paiement d'un émolument s'élevant à CHF 500.-. Cet émolument est couvert par l'avance de frais versée à la suite du dépôt du recours. 26. Vu l'issue du litige, aucune indemnité de procédure ne sera allouée (art. 87 al. 2 LPA).</w:t>
      </w:r>
    </w:p>
    <w:p>
      <w:r>
        <w:t>- 12/12 - A/3621/2024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