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JTAPI/483/2024 vom 14. März 2023</w:t>
      </w:r>
    </w:p>
    <w:p>
      <w:r>
        <w:t>GE Cour de justice, 2023-03-14, FR</w:t>
      </w:r>
    </w:p>
    <w:p>
      <w:r>
        <w:rPr>
          <w:b/>
        </w:rPr>
        <w:t xml:space="preserve">Quelle: </w:t>
      </w:r>
      <w:r>
        <w:t>https://mcp.opencaselaw.ch/entscheid/ge_gerichte_JTAPI_483_2024</w:t>
      </w:r>
    </w:p>
    <w:p>
      <w:r>
        <w:t>FR: GE_GERICHTE JTAPI/483/2024 du 14 mars 2023</w:t>
      </w:r>
    </w:p>
    <w:p>
      <w:r>
        <w:t>IT: GE_GERICHTE JTAPI/483/2024 del 14 marzo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w:t>
      </w:r>
    </w:p>
    <w:p>
      <w:r>
        <w:t>- 7/11 - A/198/2024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60 et 62 à 65 de la loi sur la procédure administrative du 12 septembre 1985 (LPA - E 5 10). 3. À toutes fins utiles, le tribunal constate que malgré l'échéance du permis d'élève conducteur du recours depuis le 25 janvier 2024, le recours n'a pas perdu son objet. En effet, la mesure contestée a cessé de déployer son principal effet le 25 janvier 2024, soit à l'échéance de validité du permis d'élève conducteur du recourant, si bien que l'intérêt à son annulation n'existe plus au moment où le tribunal de céans statue. Toutefois, la décision de l'OCV du 10 janvier 2024 mentionne expressément l'inscription de cette mesure au fichier SIAC-Mesure. L'exigence d'un intérêt actuel et concret doit être examinée sous cet angle également, en relation avec les conséquences que la loi attache au prononcé d'une telle mesure en cas d'infraction subséquente (art. 16 al. 2 LCR).</w:t>
      </w:r>
    </w:p>
    <w:p>
      <w:r>
        <w:t>A rigueur du texte de l'art. 9 de l'ordonnance sur le système d’information relatif à l’admission à la circulation du 30 novembre 2018 (OSIAC - RS 741.58), s’agissant des mesures administratives prévues à l’art. 89c let. d LCR, le sous-système SIAC- Mesures contient les données visées à l’annexe 3 de la LCR concernant les personnes domiciliées en Suisse et celles domiciliées à l’étranger. Selon l'art. 89c let. d LCR, les données relatives aux mesures administratives, à leur levée ou à leur modification, lorsque ces mesures ont été prononcées par des autorités suisses ou par des autorités étrangères contre des personnes domiciliées en Suisse, notamment les refus et retraits de permis et d'autorisations (ch. 1). Il s'ensuit que la mesure prononcée à l'égard du recourant doit bien figurer au registre automatisé des mesures administratives, ce qui constitue une atteinte considérable et durable à sa future réputation de conducteur (ATF 104 Ib 103 consid. 1 p. 105 s., spéc. 106). Le recourant conserve, en conséquence, un intérêt actuel et concret à l'annulation de la décision entreprise (Arrêt du Tribunal fédéral 6A.61/2006 du 23 novembre 2006 consid. 1.2.1).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w:t>
      </w:r>
    </w:p>
    <w:p>
      <w:r>
        <w:t>- 8/11 - A/198/2024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 recourant conteste la décision de retrait du permis d'élève conducteur prononcé à son encontre par décision du 10 janvier 2024. Il considère que l'autorité a constaté de manière inexacte les faits en ne retenant pas un besoin professionnel de conduire et prétend que la décision est disproportionnée.</w:t>
      </w:r>
    </w:p>
    <w:p>
      <w:r>
        <w:rPr>
          <w:b/>
        </w:rPr>
        <w:t>E. 7</w:t>
      </w:r>
    </w:p>
    <w:p>
      <w:r>
        <w:t>À teneur de l'art. 10 al. 2 LCR, nul ne peut conduire un véhicule automobile sans être titulaire d’un permis de conduire ou, s’il effectue une course d’apprentissage, d’un permis d’élève conducteur.</w:t>
      </w:r>
    </w:p>
    <w:p>
      <w:r>
        <w:rPr>
          <w:b/>
        </w:rPr>
        <w:t>E. 8</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9</w:t>
      </w:r>
    </w:p>
    <w:p>
      <w:r>
        <w:t>Selon l'art. 16 al. 1 let. c OAC, le permis d’élève conducteur est valable quatre mois pour la catégorie A et la sous-catégorie A1 (let. a), douze mois pour la sous- catégorie B1 et la catégorie spéciale F (let. b) et 24 mois pour toutes les autres catégories (let. c).</w:t>
      </w:r>
    </w:p>
    <w:p>
      <w:r>
        <w:rPr>
          <w:b/>
        </w:rPr>
        <w:t>E. 10</w:t>
      </w:r>
    </w:p>
    <w:p>
      <w:r>
        <w:t>Pour déterminer la durée et s'il y a lieu de prononcer un retrait d'admonestation, la LCR distingue les infractions légères, moyennement graves et graves (art. 16a à 16c LCR).</w:t>
      </w:r>
    </w:p>
    <w:p>
      <w:r>
        <w:rPr>
          <w:b/>
        </w:rPr>
        <w:t>E. 11</w:t>
      </w:r>
    </w:p>
    <w:p>
      <w:r>
        <w:t>Selon l'art. 16c al. 1 let. b LCR, commet une infraction grave celui qui conduit un véhicule automobile en état d'ébriété et présente un taux d'alcool qualifié dans l'haleine ou dans le sang. Il en va de même de celui qui conduit un véhicule automobile alors que le permis de conduire lui a été retiré (Art. 16c al. 1 let. b LCR).</w:t>
      </w:r>
    </w:p>
    <w:p>
      <w:r>
        <w:t>Selon l'art. 2 de l'ordonnance de l'Assemblée fédérale concernant les taux limites d'alcool admis en matière de circulation routière du 15 juin 2012 (RS 741.13), sont considérés comme qualifiés un taux d'alcool dans le sang de 0,8 gramme pour mille ou plus (let. a), ou un taux d'alcool dans l'haleine de 0,4 mg ou plus par litre d'air expiré (let. b).</w:t>
      </w:r>
    </w:p>
    <w:p>
      <w:r>
        <w:t>- 9/11 - A/198/2024</w:t>
      </w:r>
    </w:p>
    <w:p>
      <w:r>
        <w:rPr>
          <w:b/>
        </w:rPr>
        <w:t>E. 12</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13</w:t>
      </w:r>
    </w:p>
    <w:p>
      <w:r>
        <w:t>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w:t>
      </w:r>
    </w:p>
    <w:p>
      <w:r>
        <w:rPr>
          <w:b/>
        </w:rPr>
        <w:t>E. 14</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t>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w:t>
      </w:r>
    </w:p>
    <w:p>
      <w:r>
        <w:t>La proximité temporelle d'un antécédent (généralement constitutif d'une récidive) est une circonstance aggravante (arrêts 1C_366/2011 consid. 3.5 ; 1C_293/2009 consid. 2.2).</w:t>
      </w:r>
    </w:p>
    <w:p>
      <w:r>
        <w:rPr>
          <w:b/>
        </w:rPr>
        <w:t>E. 15</w:t>
      </w:r>
    </w:p>
    <w:p>
      <w:r>
        <w:t>La règle qui rend incompressibles les durées minimales de retrait des permis, s'impose à l'autorité et aux tribunaux sans dérogation possible, même pour tenir compte des besoins professionnels particulier du conducteur (ATF 135 II 334 consid. 2.2 et les arrêts cités).</w:t>
      </w:r>
    </w:p>
    <w:p>
      <w:r>
        <w:rPr>
          <w:b/>
        </w:rPr>
        <w:t>E. 16</w:t>
      </w:r>
    </w:p>
    <w:p>
      <w:r>
        <w:t>En l'espèce, le recourant, alors titulaire du permis d'élève conducteur, a fait l'objet d'un retrait de permis d'une durée de trois mois en date du 14 mars 2023 en raison d'une infraction grave, laquelle a été exécutée du 15 mai 2023 au 14 août 2023.</w:t>
      </w:r>
    </w:p>
    <w:p>
      <w:r>
        <w:t>Il a commis une deuxième infraction le 5 juillet 2023 en conduisant à nouveau en état d'ébriété qualifiée et alors qu'il se trouvait sous interdiction de conduire, ce qu'il ne conteste au demeurant pas. Vu son taux d'alcoolémie lors de son arrestation le 5 juillet 2023, soit 0.85 mg/l, il s'agit d'une infraction grave au sens de l'art. 16c al. 1 let. b et f LCR entraînant un retrait de permis sans dérogation possible pour une durée minimale de douze mois (art. 16c al. 2 let. c LCR).</w:t>
      </w:r>
    </w:p>
    <w:p>
      <w:r>
        <w:t>L’OCV a justifié sa décision de s'écarter du minimum légal, compte tenu de l’ensemble des circonstances et notamment du taux d'alcool et de la proximité de la récidive. Il rappelait au surplus que l’intéressé ne pouvait pas justifier d'une bonne</w:t>
      </w:r>
    </w:p>
    <w:p>
      <w:r>
        <w:t>- 10/11 - A/198/2024 réputation, le SIAC faisant apparaître un antécédent, soit un retrait du permis d'élève conducteur prononcé par décision du 14 mars 2023 pour une durée de trois mois en raison d'une infraction grave, mesure dont l'exécution avait pris fin le 14 août 2023. Il convient de rappeler également que le recourant a, à deux reprises, pris le guidon d'un motocycle alors qu'il faisait l'objet d'un retrait de permis d'une durée de trois mois, dont l'une des fois en état d'ébriété qualifiée, commettant par ailleurs diverses autres infractions au code de la route.</w:t>
      </w:r>
    </w:p>
    <w:p>
      <w:r>
        <w:t>S'agissant du besoin professionnel de conduire allégué par le recourant pour sa troisième année d'apprentissage, à partir de mai 2024, si l'on comprend certes que cela peut impacter sa formation, il ne faut pas perdre de vue qu'indépendamment de la mesure litigieuse, son permis d'élève conducteur est arrivé à échéance le 25 janvier 2024, de sorte que le recourant ne dispose à ce jour d'aucun droit à conduire, même si la mesure devait, par hypothèse, être annulée. Dans cette mesure, son éventuelle besoin professionnel de conduire n'est pas déterminant.</w:t>
      </w:r>
    </w:p>
    <w:p>
      <w:r>
        <w:rPr>
          <w:b/>
        </w:rPr>
        <w:t>E. 17</w:t>
      </w:r>
    </w:p>
    <w:p>
      <w:r>
        <w:t>Au vu de ce qui précède, le tribunal estime que l'OCV n'a pas excédé ou abusé de son large pouvoir d'appréciation, en tenant compte du dernier antécédent du recourant et de la proximité de la récidive ainsi que du taux d'alcool qualifié, pour prononcer un retrait d’une durée de quinze mois s'écartant du minimum légal de douze mois, décision qui apparait de surcroît conforme au principe de la proportionnalité, qui gouverne toute action étatique (art. 36 de la Constitution fédérale de la Confédération suisse du 18 avril 1999 - Cst. - RS 101). Comme rappelé ci-dessus, l'application de la cascade des sanctions opérée par l'autorité intimée est conforme au droit.</w:t>
      </w:r>
    </w:p>
    <w:p>
      <w:r>
        <w:t>Dans ces conditions, la décision querellée ne peut être que confirmée et, partant, le recours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- 11/11 - A/198/2024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