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JTAPI/482/2025 vom 3. Februar 2022</w:t>
      </w:r>
    </w:p>
    <w:p>
      <w:r>
        <w:t>GE Cour de justice, 2022-02-03, FR</w:t>
      </w:r>
    </w:p>
    <w:p>
      <w:r>
        <w:rPr>
          <w:b/>
        </w:rPr>
        <w:t xml:space="preserve">Quelle: </w:t>
      </w:r>
      <w:r>
        <w:t>https://mcp.opencaselaw.ch/entscheid/ge_gerichte_JTAPI_482_2025</w:t>
      </w:r>
    </w:p>
    <w:p>
      <w:r>
        <w:t>FR: GE_GERICHTE JTAPI/482/2025 du 3 février 2022</w:t>
      </w:r>
    </w:p>
    <w:p>
      <w:r>
        <w:t>IT: GE_GERICHTE JTAPI/482/2025 del 3 febbraio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6 mai 2025 à 15h20.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w:t>
      </w:r>
    </w:p>
    <w:p>
      <w:r>
        <w:t>- 5/8 - A/1555/2025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3.1</w:t>
      </w:r>
    </w:p>
    <w:p>
      <w:r>
        <w:t>; 2C_756/2009 du 15 décembre 2009 consid. 2.1).</w:t>
      </w:r>
    </w:p>
    <w:p>
      <w:r>
        <w:rPr>
          <w:b/>
        </w:rPr>
        <w:t>E. 3.3</w:t>
      </w:r>
    </w:p>
    <w:p>
      <w:r>
        <w:t>; 2C_806/2010 du 21 octobre 2010 consid. 2.1 ; 2C_400/2009 du 16 juillet 2009 consid. 3.1).</w:t>
      </w:r>
    </w:p>
    <w:p>
      <w:r>
        <w:t>- 6/8 - A/1555/2025</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a été condamnée pour crime, par quoi il faut entendre une infraction passible d'une peine privative de liberté de plus de trois ans (let. h) (cf. art. 10 al. 2 CP ; ATA/220/2018 du 8 mars 2018 consid. 4a).</w:t>
      </w:r>
    </w:p>
    <w:p>
      <w:r>
        <w:rPr>
          <w:b/>
        </w:rPr>
        <w:t>E. 5</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LEI) et si son comportement permet de conclure qu'elle se refuse à obtempérer aux instructions des autorités compétentes (ch. 4).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En l’espèce, M. A______ fait l’objet de deux expulsions pénales de Suisse, l’une prononcée par le Tribunal de police par jugement du 3 février 2022 pour une durée de trois ans et la seconde par arrêt de la CPAR du 24 févier 2025 pour une durée de cinq ans. Malgré le délai imparti suite à la première expulsion au 12 octobre 2022 pour quitter la Suisse, l’intéressé est resté sur le territoire en tout cas jusqu’en octobre 2022 et y est revenu à tout le moins en janvier 2024 pour y commettre deux cambriolages. Il a par ailleurs fait l’objet de nombreuses condamnations pour vol, soit une infraction qualifiée de crime. Il a indiqué n’avoir ni domicile ni lieu de résidence fixe et ne disposer d’aucune source de revenu. Il n’a par ailleurs aucune attache à Genève. Vu les infractions commises et les déclarations persistantes de l’intéressé quant à son refus d’être renvoyé en Algérie, l'assurance de son départ effectif répond à un intérêt public certain. De plus, les autorités suisses doivent s'assurer du fait qu'il quittera effectivement le territoire à destination de l’Algérie et toute autre mesure moins incisive que la détention administrative serait vaine pour assurer sa présence lorsqu’il devra être emmené à bord du vol sur lequel une place lui aura été réservée. Par conséquent, il appert que les conditions légales de la détention administrative de M. A______ sont clairement réalisées.</w:t>
      </w:r>
    </w:p>
    <w:p>
      <w:r>
        <w:rPr>
          <w:b/>
        </w:rPr>
        <w:t>E. 10</w:t>
      </w:r>
    </w:p>
    <w:p>
      <w:r>
        <w:t>Les démarches nécessaires à l'exécution du renvoi doivent être entreprises sans tarder par l'autorité compétente (art. 76 al. 4 LEI). Il s'agit, selon la jurisprudence du Tribunal fédéral, d'une condition à laquelle la détention est subordonnée (arrêt</w:t>
      </w:r>
    </w:p>
    <w:p>
      <w:r>
        <w:t>- 7/8 - A/1555/2025 2A.581/2006 du 18 octobre 2006 ; cf. aussi ATA/315/2010 du 6 mai 2010 ; ATA/88/2010 du 9 février 2010).</w:t>
      </w:r>
    </w:p>
    <w:p>
      <w:r>
        <w:rPr>
          <w:b/>
        </w:rPr>
        <w:t>E. 11</w:t>
      </w:r>
    </w:p>
    <w:p>
      <w:r>
        <w:t>En l’espèce, les autorités ont agi avec diligence et célérité dès lors qu’elles vont présenter l’intéressé aux autorités algériennes lors du prochain counseling qui devrait avoir lieu à la fin du mois de mai 2025. Suite à ce counseling, les autorités devront attendre l’accord des autorités algériennes – dont le délai de réponse est d’un mois environ – et ensuite, une fois cet accord obtenu, elles pourront réserver une place sur un vol avec un délai d’annonce de 30 jours.</w:t>
      </w:r>
    </w:p>
    <w:p>
      <w:r>
        <w:rPr>
          <w:b/>
        </w:rPr>
        <w:t>E. 12</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Dans tous les cas, la durée de la détention doit être proportionnée par rapport aux circonstances d'espèce (arrêts du Tribunal fédéral 2C_18/2016 du 2 février 2016 consid. 4.2 ; 2C_218/2013 du 26 mars 2013 consid. 2.3).</w:t>
      </w:r>
    </w:p>
    <w:p>
      <w:r>
        <w:rPr>
          <w:b/>
        </w:rPr>
        <w:t>E. 13</w:t>
      </w:r>
    </w:p>
    <w:p>
      <w:r>
        <w:t>En l’espèce, la durée de la détention requise, de quatre mois, n'apparaît pas d'emblée disproportionnée au vu des démarches encore en cours, qui vont prendre du temps du fait des délais de réponses des autorités algériennes - sur lesquels les autorités suisses n’ont aucune emprise - et du risque non négligeable que M. A______ s’oppose à son renvoi en Algérie le jour où une place sur un vol lui aura été réservée. Cas échéant, les autorités disposeront encore du temps nécessaire pour organiser un nouveau renvoi, ou solliciter la prolongation de la détention.</w:t>
      </w:r>
    </w:p>
    <w:p>
      <w:r>
        <w:rPr>
          <w:b/>
        </w:rPr>
        <w:t>E. 14</w:t>
      </w:r>
    </w:p>
    <w:p>
      <w:r>
        <w:t>Au vu de ce qui précède, il y a lieu de confirmer l'ordre de mise en détention administrative de M. A______ pour une durée de quatre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A/1555/2025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