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JTAPI/482/2024 vom 22. Mai 2024</w:t>
      </w:r>
    </w:p>
    <w:p>
      <w:r>
        <w:t>GE Cour de justice, 2024-05-22, FR</w:t>
      </w:r>
    </w:p>
    <w:p>
      <w:r>
        <w:rPr>
          <w:b/>
        </w:rPr>
        <w:t xml:space="preserve">Quelle: </w:t>
      </w:r>
      <w:r>
        <w:t>https://mcp.opencaselaw.ch/entscheid/ge_gerichte_JTAPI_482_2024</w:t>
      </w:r>
    </w:p>
    <w:p>
      <w:r>
        <w:t>FR: GE_GERICHTE JTAPI/482/2024 du 22 mai 2024</w:t>
      </w:r>
    </w:p>
    <w:p>
      <w:r>
        <w:t>IT: GE_GERICHTE JTAPI/482/2024 del 22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Dans un premier grief d’ordre formel qu’il convient d’examiner en premier lieu, la recourante se plaint d’une violation de son droit d’être entendu.</w:t>
      </w:r>
    </w:p>
    <w:p>
      <w:r>
        <w:t>- 5/9 - A/3618/2023</w:t>
      </w:r>
    </w:p>
    <w:p>
      <w:r>
        <w:rPr>
          <w:b/>
        </w:rPr>
        <w:t>E. 4</w:t>
      </w:r>
    </w:p>
    <w:p>
      <w:r>
        <w:t>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w:t>
      </w:r>
    </w:p>
    <w:p>
      <w:r>
        <w:rPr>
          <w:b/>
        </w:rPr>
        <w:t>E. 5</w:t>
      </w:r>
    </w:p>
    <w:p>
      <w:r>
        <w:t>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 Cst.;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rPr>
          <w:b/>
        </w:rPr>
        <w:t>E. 6</w:t>
      </w:r>
    </w:p>
    <w:p>
      <w:r>
        <w:t>Le droit d’être entendu est concrétisé à l’art. 41 LPA, selon lequel les parties ont le droit d’être entendues par l’autorité compétente avant que ne soit prise une décision; elles ne peuvent toutefois prétendre à une audition verbale sauf dispositions légales contraires.</w:t>
      </w:r>
    </w:p>
    <w:p>
      <w:r>
        <w:rPr>
          <w:b/>
        </w:rPr>
        <w:t>E. 7</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w:t>
      </w:r>
    </w:p>
    <w:p>
      <w:r>
        <w:rPr>
          <w:b/>
        </w:rPr>
        <w:t>E. 8</w:t>
      </w:r>
    </w:p>
    <w:p>
      <w:r>
        <w:t>Le droit d’être entendu implique également pour l’autorité l’obligation de motiver sa décision. Selon la jurisprudence constante, il suffit qu’elle mentionne, au moins brièvement, les motifs qui l’ont guidée et sur lesquels elle a fondé sa décision, de</w:t>
      </w:r>
    </w:p>
    <w:p>
      <w:r>
        <w:t>- 6/9 - A/3618/2023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(ATF 142 II 154 consid. 4.2 ; 141 IV 249 consid. 1.3.1 ; arrêts du Tribunal fédéral 6B_762/2020 du 17 mars 2021 consid. 2.1 ; 1C_415/ 2019 du 27 mars 2020 consid. 2.1 ; ATA/447/2021 du 27 avril 2021 consid. 6b). L’autorité peut donc passer sous silence ce qui, sans arbitraire, lui paraît à l’évidence non établi ou sans pertinence et il n’y a violation du droit d’être entendu que si elle ne satisfait pas à son devoir minimum d’examiner les problèmes pertinents (ATF 136 I 229 consid. 5.2 ; ATF 135 III 670 consid. 3.3.1 ; 133 III 235 consid. 5.2).</w:t>
      </w:r>
    </w:p>
    <w:p>
      <w:r>
        <w:rPr>
          <w:b/>
        </w:rPr>
        <w:t>E. 9</w:t>
      </w:r>
    </w:p>
    <w:p>
      <w:r>
        <w:t>Si les règles de procédure administrative sont violées, la décision est viciée formellement, ce qui constitue en principe un motif d'annulation de la décision, indépendamment de la question de savoir si, matériellement, cette décision est conforme au droit (Thierry TANQUEREL, Manuel de droit administratif, 2e éd., 2018 N. 883 et les références citées).</w:t>
      </w:r>
    </w:p>
    <w:p>
      <w:r>
        <w:rPr>
          <w:b/>
        </w:rPr>
        <w:t>E. 10</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11</w:t>
      </w:r>
    </w:p>
    <w:p>
      <w:r>
        <w:t>Selon l’art. 61 LPA, le recours peut être formé pour violation du droit, y compris l’excès et l’abus du pouvoir d’appréciation (al. 1 let. a), ou pour constatation inexacte ou incomplète des faits pertinents (al. 1 let. b). En revanche, les juridictions</w:t>
      </w:r>
    </w:p>
    <w:p>
      <w:r>
        <w:t>- 7/9 - A/3618/2023 administratives n’ont pas compétence pour apprécier l’opportunité de la décision attaquée, sauf exception prévue par la loi (al. 2), non réalisée dans le cas d’espèce.</w:t>
      </w:r>
    </w:p>
    <w:p>
      <w:r>
        <w:rPr>
          <w:b/>
        </w:rPr>
        <w:t>E. 12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1C_107/2016 du 28 juillet 2016 consid. 9 ; Thierry TANQUEREL, Manuel de droit administratif, 2ème éd., 2018, n. 515 p. 179).</w:t>
      </w:r>
    </w:p>
    <w:p>
      <w:r>
        <w:rPr>
          <w:b/>
        </w:rPr>
        <w:t>E. 13</w:t>
      </w:r>
    </w:p>
    <w:p>
      <w:r>
        <w:t>La question de l’opportunité ne se pose que lorsque l’administration dispose d’un pouvoir d’appréciation (Thierry TANQUEREL, op. cit., n. 892 p. 316). La jurisprudence retient que l’administration jouit d’un large pouvoir d’appréciation pour infliger une amende et arrêter sa quotité, notamment en matière de droit de la construction et du logement (ATA/260/2014 du 15 avril 2014 consid. 15b).</w:t>
      </w:r>
    </w:p>
    <w:p>
      <w:r>
        <w:rPr>
          <w:b/>
        </w:rPr>
        <w:t>E. 14</w:t>
      </w:r>
    </w:p>
    <w:p>
      <w:r>
        <w:t>Il convient de préciser que si le pouvoir en opportunité de l’administration est plein et entier s’agissant de décider si elle inflige ou non une amende (les dispositions légales prévoyant toujours que les contrevenants sont passibles d’une telle sanction), elle ne peut en revanche décider de la quotité de l’amende qu’en respectant notamment les critères applicables en matière de droit pénal (ATA/1277/2018 du 27 novembre 2018 consid. 6 et les références citées) et est donc tenue par des règles juridiques relativement précises. L’amende doit aussi respecter le principe de la proportionnalité (art. 36 al. 3 Cst. ; ATA/1277/2018 du 27 novembre 2018 consid. 6c).</w:t>
      </w:r>
    </w:p>
    <w:p>
      <w:r>
        <w:rPr>
          <w:b/>
        </w:rPr>
        <w:t>E. 15</w:t>
      </w:r>
    </w:p>
    <w:p>
      <w:r>
        <w:t>En l’espèce, la recourante a pu s’exprimer à plusieurs reprises sur l’objet de la dénonciation. Par contre, elle n’a pas été invitée à la visite des lieux par le département le 30 août 2023, alors qu’elle aurait dû l’être. Cela lui aurait permis de présenter ses observations orales sur le moment, lesquelles auraient pu être consignées dans un procès-verbal. Un délai aurait également dû lui être imparti après cette visite, pour exercer son droit d’être entendu, avant qu’une décision ne soit prise à son encontre. C’est d’autant plus vrai que jusqu’alors, il n’avait été question que des problèmes de moisissures et de turbinette dans la salle de bains alors que la décision litigieuse reproche encore à la recourante une extraction hors service et une porte non tablettée dans la cuisine. Par ailleurs, le département ne saurait être suivi lorsqu’il explique que s’il avait eu connaissance des observations de la recourante avant le prononcé de la décision, cela n’aurait pas changé son appréciation. Le but du droit d’être entendu est justement que la personne concernée puisse s’expliquer avant qu’une décision ne soit prise à son encontre et que l’administration tienne compte de sa position dans l’appréciation des motifs qui fondent sa décision.</w:t>
      </w:r>
    </w:p>
    <w:p>
      <w:r>
        <w:rPr>
          <w:b/>
        </w:rPr>
        <w:t>E. 16</w:t>
      </w:r>
    </w:p>
    <w:p>
      <w:r>
        <w:t>Compte tenu de ce qui précède, le tribunal ne peut que constater que la décision entreprise a été rendue sans que le département n'ait formellement offert à la</w:t>
      </w:r>
    </w:p>
    <w:p>
      <w:r>
        <w:t>- 8/9 - A/3618/2023 recourante la possibilité de s'exprimer au préalable, de manière complète, violant ainsi son droit d'être entendu.</w:t>
      </w:r>
    </w:p>
    <w:p>
      <w:r>
        <w:rPr>
          <w:b/>
        </w:rPr>
        <w:t>E. 17</w:t>
      </w:r>
    </w:p>
    <w:p>
      <w:r>
        <w:t>Au vu de la gravité de la violation, du fait que l'instance de recours ne dispose pas de la compétence d’apprécier l’opportunité de la décision attaquée (JTAPI/1350/2023 du 30 novembre 2023 consid. 27) et indépendamment des chances de succès du recours au fond, la décision entreprise sera annulée.</w:t>
      </w:r>
    </w:p>
    <w:p>
      <w:r>
        <w:rPr>
          <w:b/>
        </w:rPr>
        <w:t>E. 18</w:t>
      </w:r>
    </w:p>
    <w:p>
      <w:r>
        <w:t>Le recours sera ainsi admis sans qu'il ne soit nécessaire d'examiner les autres griefs de la recourante.</w:t>
      </w:r>
    </w:p>
    <w:p>
      <w:r>
        <w:rPr>
          <w:b/>
        </w:rPr>
        <w:t>E. 19</w:t>
      </w:r>
    </w:p>
    <w:p>
      <w:r>
        <w:t>Vu l’issue du litige, il ne sera pas perçu d’émolument (art. 87 al. 1 LPA). Une indemnité de procédure de CHF 600.- sera allouée à la recourante, à la charge de l'autorité intimée (art. 87 al. 2 LPA).</w:t>
      </w:r>
    </w:p>
    <w:p>
      <w:r>
        <w:t>- 9/9 - A/3618/2023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