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JTAPI/481/2024 vom 22. Mai 2024</w:t>
      </w:r>
    </w:p>
    <w:p>
      <w:r>
        <w:t>GE Cour de justice, 2024-05-22, FR</w:t>
      </w:r>
    </w:p>
    <w:p>
      <w:r>
        <w:rPr>
          <w:b/>
        </w:rPr>
        <w:t xml:space="preserve">Quelle: </w:t>
      </w:r>
      <w:r>
        <w:t>https://mcp.opencaselaw.ch/entscheid/ge_gerichte_JTAPI_481_2024</w:t>
      </w:r>
    </w:p>
    <w:p>
      <w:r>
        <w:t>FR: GE_GERICHTE JTAPI/481/2024 du 22 mai 2024</w:t>
      </w:r>
    </w:p>
    <w:p>
      <w:r>
        <w:t>IT: GE_GERICHTE JTAPI/481/2024 del 22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L’admission de la qualité pour recourir ne signifie pas encore que toutes les conclusions respectivement les griefs formulés par la recourante soient recevables.</w:t>
      </w:r>
    </w:p>
    <w:p>
      <w:r>
        <w:rPr>
          <w:b/>
        </w:rPr>
        <w:t>E. 3</w:t>
      </w:r>
    </w:p>
    <w:p>
      <w:r>
        <w:t>En effet, sous peine d’être irrecevable, une conclusion ne peut être exorbitante à l’objet du litige (ATA/195/2022 du 22 février 2022 consid. 3).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La contestation ne peut excéder l’objet de la décision attaquée, c’est-à-dire les prétentions ou les rapports juridiques sur lesquels l’autorité inférieure s’est prononcée ou aurait dû se prononcer (ATA/1367/2023 du 19 décembre 2023 consid. 4.8).</w:t>
      </w:r>
    </w:p>
    <w:p>
      <w:r>
        <w:rPr>
          <w:b/>
        </w:rPr>
        <w:t>E. 4</w:t>
      </w:r>
    </w:p>
    <w:p>
      <w:r>
        <w:t>En l’espèce, l’objet du litige porte sur l’ordre de requérir une autorisation de construire en procédure accélérée. La conclusion tendant à ce qu’il soit constaté que la recourante peut exploiter un bureau consacré à l’agence d’escortes B______ dans les locaux qu’elle loue, est exorbitante à l’objet de la décision entreprise et, partant, irrecevable.</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6</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Doit être tranchée la question de la recevabilité du recours.</w:t>
      </w:r>
    </w:p>
    <w:p>
      <w:r>
        <w:rPr>
          <w:b/>
        </w:rPr>
        <w:t>E. 8</w:t>
      </w:r>
    </w:p>
    <w:p>
      <w:r>
        <w:t>Selon l’art. 57 LPA,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t>- 6/13 - A/3200/2023</w:t>
      </w:r>
    </w:p>
    <w:p>
      <w:r>
        <w:rPr>
          <w:b/>
        </w:rPr>
        <w:t>E. 9</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10</w:t>
      </w:r>
    </w:p>
    <w:p>
      <w:r>
        <w:t>Ce n’est pas la forme de l’acte qui est déterminante, mais son contenu et ses effets. Toute décision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w:t>
      </w:r>
    </w:p>
    <w:p>
      <w:r>
        <w:rPr>
          <w:b/>
        </w:rPr>
        <w:t>E. 11</w:t>
      </w:r>
    </w:p>
    <w:p>
      <w:r>
        <w:t>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w:t>
      </w:r>
    </w:p>
    <w:p>
      <w:r>
        <w:rPr>
          <w:b/>
        </w:rPr>
        <w:t>E. 12</w:t>
      </w:r>
    </w:p>
    <w:p>
      <w:r>
        <w:t>En droit genevois, la notion de décision est calquée sur le droit fédéral, ce qui est également valable pour les cas limites, ou plus exactement pour les actes dont l’adoption n’ouvre pas de voie de recours.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ATA/1024/2020 du 13 octobre 2020 consid. 3c).</w:t>
      </w:r>
    </w:p>
    <w:p>
      <w:r>
        <w:rPr>
          <w:b/>
        </w:rPr>
        <w:t>E. 13</w:t>
      </w:r>
    </w:p>
    <w:p>
      <w:r>
        <w:t>Constitue une décision finale celle qui met un terme à l’instance engagée (ATA/261/2009 du 19 mai 2009 ; Pierre MOOR/Etienne POLTIER, Droit administratif, vol. 2, 3ème éd., 2011, n° 2.2.4.2, p. 256).</w:t>
      </w:r>
    </w:p>
    <w:p>
      <w:r>
        <w:rPr>
          <w:b/>
        </w:rPr>
        <w:t>E. 14</w:t>
      </w:r>
    </w:p>
    <w:p>
      <w:r>
        <w:t>Sont des décisions incidentes celles prises pendant le cours de la procédure, qui ne représentent qu’une étape vers la décision finale (Pierre MOOR/Etienne POLTIER, op. cit., p. 225, n. 2.2.4.2).</w:t>
      </w:r>
    </w:p>
    <w:p>
      <w:r>
        <w:rPr>
          <w:b/>
        </w:rPr>
        <w:t>E. 15</w:t>
      </w:r>
    </w:p>
    <w:p>
      <w:r>
        <w:t>De jurisprudence constante, l'ordre de déposer une demande d'autorisation de construire est une décision incidente (ATA/341/2024 du 5 mars 2024 consid. 2.4 ; ATA/957/2020 du 29 septembre 2020 consid. 4 ; ATA/1399/2019 du 17 septembre 2019 confirmé par un arrêt du Tribunal fédéral 1C_557/2019 du 21 avril 2020 ; ATA/1548/2017 du 28 novembre 2017 consid. 4 ; ATA/433/2018 du 8 mai 2018 consid. 4) qui ne cause aucun préjudice irréparable aux recourants (arrêt du Tribunal fédéral 1C_278/2017 du 10 octobre 2017 consid. 2.2 et 2.3, qui confirme l'ATA/360/2017 du 28 mars 2017). Le Tribunal fédéral a notamment précisé, s'agissant de l'obligation de constituer un dossier en vue du dépôt d'une requête en</w:t>
      </w:r>
    </w:p>
    <w:p>
      <w:r>
        <w:t>- 7/13 - A/3200/2023 autorisation, que si elle impose différentes démarches aux propriétaires concernés, on ne saurait considérer qu'elle cause un préjudice irréparable (arrêt du Tribunal fédéral 1C_278/2017 précité consid. 2.3.2). En outre, il a retenu que les coûts liés à de telles procédures ne constituent pas un préjudice juridique (ATF 135 II 30 consid. 1.3.4 ; arrêts du Tribunal fédéral 1C_392/2016 et 1C_390/2016 du 5 septembre 2016 consid. 2.2).</w:t>
      </w:r>
    </w:p>
    <w:p>
      <w:r>
        <w:rPr>
          <w:b/>
        </w:rPr>
        <w:t>E. 16</w:t>
      </w:r>
    </w:p>
    <w:p>
      <w:r>
        <w:t>Selon le Tribunal fédéral, la procédure d'autorisation de construire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139 II 134 consid. 5.2 ; ATF 123 II 256 consid. 3 ; ATF 120 Ib 379 consid. 3c, ATF 119 Ib 222 consid. 3a ; arrêt 1C_107/2011 du 5 septembre 2011 consid. 3.2).</w:t>
      </w:r>
    </w:p>
    <w:p>
      <w:r>
        <w:rPr>
          <w:b/>
        </w:rPr>
        <w:t>E. 17</w:t>
      </w:r>
    </w:p>
    <w:p>
      <w:r>
        <w:t>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(ATA/526/2016 et ATA/527/2016 du</w:t>
      </w:r>
    </w:p>
    <w:p>
      <w:r>
        <w:rPr>
          <w:b/>
        </w:rPr>
        <w:t>E. 21</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w:t>
      </w:r>
    </w:p>
    <w:p>
      <w:r>
        <w:rPr>
          <w:b/>
        </w:rPr>
        <w:t>E. 22</w:t>
      </w:r>
    </w:p>
    <w:p>
      <w:r>
        <w:t>En l’espèce, la décision attaquée retient que le changement d’affectation, même partiel des locaux, est soumise à l’obtention d’une autorisation de construire conformément à l’art. 1 LCI et à l’art. 19 al. 3 LaLAT. Eu égard à ce constat, cette décision ordonne le dépôt d’une demande d’autorisation de construire, laquelle donnera lieu à une décision d’octroi ou de refus y relative. Elle ne préjuge pas de la décision finale. La décision du ______ 2023 n'a pas d'autres effets juridiques que d’ordonner à la recourante de déposer une demande d'autorisation de construire. Elle constitue une étape qui devra conduire le département à analyser le dossier au fond et ne met donc pas fin à la procédure mais en ouvre une nouvelle phase. La recourante conserve, le cas échéant, la possibilité de recourir contre la décision que prendra le département ultérieurement, après l’instruction complète du dossier, si elle l’estime fondé. Partant, la décision litigieuse est bien une décision incidente.</w:t>
      </w:r>
    </w:p>
    <w:p>
      <w:r>
        <w:rPr>
          <w:b/>
        </w:rPr>
        <w:t>E. 23</w:t>
      </w:r>
    </w:p>
    <w:p>
      <w:r>
        <w:t>S’agissant d’un éventuel préjudice irréparable, il sied de relever qu’un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w:t>
      </w:r>
    </w:p>
    <w:p>
      <w:r>
        <w:rPr>
          <w:b/>
        </w:rPr>
        <w:t>E. 24</w:t>
      </w:r>
    </w:p>
    <w:p>
      <w:r>
        <w:t>Conformément à la jurisprudence précitée, la décision querellée n’est pas susceptible de causer un préjudice irréparable à la recourante, cette dernière n’ayant soulevé qu’un intérêt purement économique et le fait d’avoir à subir une procédure.</w:t>
      </w:r>
    </w:p>
    <w:p>
      <w:r>
        <w:rPr>
          <w:b/>
        </w:rPr>
        <w:t>E. 25</w:t>
      </w:r>
    </w:p>
    <w:p>
      <w:r>
        <w:t>Autre est la question de savoir si l’admission du recours conduirait immédiatement à une décision finale permettant de lui éviter une procédure probatoire longue et coûteuse. À cet effet, la recourante soulève qu’il n’est pas nécessaire de déposer une autorisation de construire car elle bénéficie directement de l’art. 19 al. 3</w:t>
      </w:r>
    </w:p>
    <w:p>
      <w:r>
        <w:t>- 9/13 - A/3200/2023 LaLAT. Ainsi, seule une décision en constatation du département devrait lui être notifiée.</w:t>
      </w:r>
    </w:p>
    <w:p>
      <w:r>
        <w:rPr>
          <w:b/>
        </w:rPr>
        <w:t>E. 26</w:t>
      </w:r>
    </w:p>
    <w:p>
      <w:r>
        <w:t>Il sied donc d’examiner si l’usage des locaux tel que prévu par la recourante nécessite un changement d’affectation ou non.</w:t>
      </w:r>
    </w:p>
    <w:p>
      <w:r>
        <w:rPr>
          <w:b/>
        </w:rPr>
        <w:t>E. 27</w:t>
      </w:r>
    </w:p>
    <w:p>
      <w:r>
        <w:t>Toute personne physique qui exploite une agence d'escorte est tenue de s'annoncer, préalablement et par écrit, aux autorités compétentes en indiquant le nombre et l'identité des personnes qui exercent la prostitution par son intermédiaire (art. 16 al. 1 LProst). La personne qui effectue l’annonce est considérée comme personne responsable au sens de la LProst (art. 16 al. 3 LProst).</w:t>
      </w:r>
    </w:p>
    <w:p>
      <w:r>
        <w:rPr>
          <w:b/>
        </w:rPr>
        <w:t>E. 28</w:t>
      </w:r>
    </w:p>
    <w:p>
      <w:r>
        <w:t>Selon l’art. 17 LProst, la personne responsable d'une agence d'escorte doit être de nationalité suisse ou titulaire de l'autorisation nécessaire pour exercer une activité indépendante en Suisse (let. a), avoir l'exercice des droits civils (let. b), offrir, par ses antécédents et son comportement, toute garantie d'honorabilité et de solvabilité concernant la sphère d'activité envisagée (let. c), être au bénéfice d'un préavis favorable du département du territoire confirmant que les locaux utilisés peuvent être affectés à une activité commerciale ou qu'une dérogation a été accordée (let. d) et ne pas avoir été responsable, au cours des dix dernières années, d'une agence d'escorte ou d'un salon ayant fait l'objet d'une fermeture et d'une interdiction d'exploiter au sens des articles 14 et 21 (let. e).</w:t>
      </w:r>
    </w:p>
    <w:p>
      <w:r>
        <w:rPr>
          <w:b/>
        </w:rPr>
        <w:t>E. 29</w:t>
      </w:r>
    </w:p>
    <w:p>
      <w:r>
        <w:t>En vertu de l’art. 12 al. 1 du règlement d'exécution de la loi sur la prostitution du 14 avril 2010 (RProst - I 2 49.01), l'annonce doit être formulée préalablement et par écrit au moyen du formulaire adéquat édicté par la BTPI. La BTPI sollicite le préavis du département du territoire, confirmant que les locaux utilisés peuvent être affectés à une activité commerciale ou qu'une dérogation a été accordée (al. 3). Si la personne qui a effectué l'annonce remplit toutes les conditions personnelles et si le département du territoire délivre le préavis prévu à l'al. 3, la BTPI procède à son inscription au registre des personnes responsables d'une agence d'escorte (al. 4).</w:t>
      </w:r>
    </w:p>
    <w:p>
      <w:r>
        <w:rPr>
          <w:b/>
        </w:rPr>
        <w:t>E. 30</w:t>
      </w:r>
    </w:p>
    <w:p>
      <w:r>
        <w:t>L'art. 17 let. d LProst est entré en vigueur le 29 juillet 2017. Il est issu d'une modification législative faisait notamment suite à certaines recommandations formulées par la Cour des comptes dans son rapport n° 85 du 16 décembre 2014 (ci-après : le rapport n° 85), portant sur une évaluation de la politique publique en matière de prostitution visant entre autres à améliorer les conditions d’exercice de la prostitution et à développer l’autonomie des travailleurs du sexe (projet de loi n° 12'031 du 30 novembre 2016 modifiant la LProst [ci-après : PL 12'031]).</w:t>
      </w:r>
    </w:p>
    <w:p>
      <w:r>
        <w:rPr>
          <w:b/>
        </w:rPr>
        <w:t>E. 31</w:t>
      </w:r>
    </w:p>
    <w:p>
      <w:r>
        <w:t>Dans son rapport, la Cour des comptes a notamment relevé que la BTPI n’effectuait pas de contrôle de conformité sous l’angle de la loi sur les démolitions, transformations et rénovations de maisons d'habitation (mesures de soutien en faveur des locataires et de l'emploi) du 25 janvier 1996 (LDTR - L 5 20) ni ne communiquait d’informations au département, n’y étant pas tenue par la LProst. La Cour des comptes a ainsi recommandé au département en charge de la sécurité de coordonner son action, lors de la procédure d’enregistrement, avec celle du</w:t>
      </w:r>
    </w:p>
    <w:p>
      <w:r>
        <w:t>- 10/13 - A/3200/2023 département afin qu’un contrôle de conformité à la LDTR soit effectué en prenant notamment en compte la procédure de dérogations prévue à l’art. 8 LDTR en cas de changement d’affectation (p. 64 et p. 68). L'art. 17 let. d LProst est donc une concrétisation de cette recommandation.</w:t>
      </w:r>
    </w:p>
    <w:p>
      <w:r>
        <w:rPr>
          <w:b/>
        </w:rPr>
        <w:t>E. 32</w:t>
      </w:r>
    </w:p>
    <w:p>
      <w:r>
        <w:t>À teneur des travaux préparatoires relatifs au PL 12'031, la problématique visée par le nouvel art. 17 let. d LProst concernait également les salons exploités dans des villas, qui n'étaient pas soumis à la LDTR, mais à la LaLAT, laquelle contenait elle- aussi des dispositions relatives à l'activité commerciale et aux dérogations susceptible d'être accordées. Le préavis du département devait donc confirmer pour les activités exploitées dans des villas soumises à la LaLAT, qu’elles étaient conformes à la zone villas ou qu'une dérogation avait été accordée.</w:t>
      </w:r>
    </w:p>
    <w:p>
      <w:r>
        <w:rPr>
          <w:b/>
        </w:rPr>
        <w:t>E. 33</w:t>
      </w:r>
    </w:p>
    <w:p>
      <w:r>
        <w:t>Les travaux préparatoires relevaient encore que la modification légale relative à l'art. 17 let. d LProst ne découlait pas directement du rapport de la Cour des comptes, dont la recommandation ne visait en réalité que les salons et non les agences d'escorte. Bien que la problématique liée au changement d'affectation était moins sensible dans le cadre d'une agence d'escorte, qui n'avait le plus souvent pas véritablement de locaux professionnels, il était néanmoins prudent de modifier également l'art. 17, pour y introduire une lettre d (nouvelle) et prévoir que la personne qui s'annonçait comme responsable d'une agence d'escorte devait joindre un préavis confirmant que les locaux utilisés pouvaient être affectés à une activité commerciale ou qu'une dérogation avait été accordée. Là aussi, le préavis devrait faire la distinction entre les agences d'escorte exploitées dans des immeubles soumis à la LDTR et celles exploitées dans des villas soumises à la LaLAT. A noter, au niveau procédural, que le préavis ne serait pas sollicité directement par la personne responsable d'une agence d'escorte mais par le département chargé de la sécurité, et que l'agence d'escorte ne pourrait pas être mise en exploitation tant que le préavis favorable n’aurait pas été délivré et que la personne responsable n'aurait pas été inscrite au registre tenu par la BTPI.</w:t>
      </w:r>
    </w:p>
    <w:p>
      <w:r>
        <w:rPr>
          <w:b/>
        </w:rPr>
        <w:t>E. 34</w:t>
      </w:r>
    </w:p>
    <w:p>
      <w:r>
        <w:t>Aux termes de l'art. 22 al. 1 LAT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(ATF 113 Ib 219 consid. 4d p. 223; arrêts du Tribunal fédéral 1C_107/2016 du 28 juillet 2016 consid. 6.1 ; 1C_395/2015 du 7 décembre 2015 consid. 3.1.1; cf. également ATF 139 II 134 consid. 5.2 p. 139 s.; voir également ALEXANDER RUCH, Commentaire LAT, 2010, n. 34 s. ad art. 22 LAT). Si les effets engendrés par la nouvelle utilisation se révèlent plus importants que précédemment, une autorisation de construire est en revanche requise; il en va en particulier ainsi en cas</w:t>
      </w:r>
    </w:p>
    <w:p>
      <w:r>
        <w:t>- 11/13 - A/3200/2023 d'augmentation significative des immissions (cf. arrêts 1C_395/2015 précité consid. 3.1.1; 1C_347/2014 du 16 janvier 2015 consid. 3.2).</w:t>
      </w:r>
    </w:p>
    <w:p>
      <w:r>
        <w:rPr>
          <w:b/>
        </w:rPr>
        <w:t>E. 35</w:t>
      </w:r>
    </w:p>
    <w:p>
      <w:r>
        <w:t>Selon la doctrine, l’exigence posée par l’art. 22 LAT est une exigence minimale ; les lois cantonales peuvent donc décider d’un régime plus sévère et soumettre à l’obligation du permis de construire des projets qui en seraient dispensés selon l’art. 22 LAT ( Heinz AEMISEGGER/Alfred KUTTLER/Pierre MOOR/Alexander RUCH/Pierre TSCHANNEN [éd.], Commentaire de la loi sur l'aménagement du territoire, 2010, ad. art. 22, p. 4 n. 4 ; Nicolas MICHEL, op. cit., n. 1397 ss).</w:t>
      </w:r>
    </w:p>
    <w:p>
      <w:r>
        <w:rPr>
          <w:b/>
        </w:rPr>
        <w:t>E. 36</w:t>
      </w:r>
    </w:p>
    <w:p>
      <w:r>
        <w:t>L’art. 1 al. 1 let. b LCI prévoit que sur tout le territoire du canton nul ne peut, sans y avoir été autorisé, modifier même partiellement le volume, l’architecture, la couleur, l’implantation, la distribution ou la destination d’une construction ou d’une installation. Selon la jurisprudence cantonale, cette disposition doit être lue de manière stricte (ATA/1346/2015 du 15 décembre 2015 consid. 6).</w:t>
      </w:r>
    </w:p>
    <w:p>
      <w:r>
        <w:rPr>
          <w:b/>
        </w:rPr>
        <w:t>E. 37</w:t>
      </w:r>
    </w:p>
    <w:p>
      <w:r>
        <w:t>La jurisprudence fédérale et cantonale est très extensive en matière d’assujettissement à l’autorisation de construire (Nicolas MICHEL, Droit public de la construction, 1996, n. 1417).</w:t>
      </w:r>
    </w:p>
    <w:p>
      <w:r>
        <w:rPr>
          <w:b/>
        </w:rPr>
        <w:t>E. 38</w:t>
      </w:r>
    </w:p>
    <w:p>
      <w:r>
        <w:t>À été considéré comme non assujetti à l’autorisation en vertu de l’art. 1 LCI un projet consistant à installer, sans aucune modification, dans les bâtiments sis sur la parcelle en cause, une entreprise de miroiterie-vitrerie à la place d’une serrurerie. Aucun bâtiment n’est touché ni dans son aspect physique ni dans sa destination : il y a simplement remplacement d’une activité de type artisanal par une autre activité du même type, ce qui ne constitue pas un changement d’affectation (Nicolas MICHEL, op. cit., n. 1416 et la référence citée).</w:t>
      </w:r>
    </w:p>
    <w:p>
      <w:r>
        <w:rPr>
          <w:b/>
        </w:rPr>
        <w:t>E. 39</w:t>
      </w:r>
    </w:p>
    <w:p>
      <w:r>
        <w:t>En revanche, les tribunaux ont admis que l’utilisation de logements à d’autres fins que l’habitation ou encore la conversion d’un local d’habitation en institut de beauté, même si celle-ci n’entraîne pas de travaux, constituent des changements d’affectation soumis à autorisation (Nicolas MICHEL, op. cit., n. 1398 ss et les références citées).</w:t>
      </w:r>
    </w:p>
    <w:p>
      <w:r>
        <w:rPr>
          <w:b/>
        </w:rPr>
        <w:t>E. 40</w:t>
      </w:r>
    </w:p>
    <w:p>
      <w:r>
        <w:t>Partant, il est exclu qu’un projet de changement partiel d’affectation non conforme à la zone soit dispensé de l’obligation d’autorisation de construire et ce, même si celui-ci ne nécessite pas de travaux de construction ou de transformation, comme en l’espèce. C’est donc bien dans le cadre d’une procédure accélérée au sens de l’art. 3 al. 7 LCI que le département devra analyser si les conditions de l’art. 19 al. 3 LaLAT sont réalisées, soit si la recourante utilise de manière prépondérante l’objet loué comme habitation principale, de quelle manière elle fait usage de l’une des pièces pour son activité professionnelle (aménagement, activité, accueil des clients et/ou escort ou non et horaires) et si cette activité n’entraine pas de nuisances graves pour le voisinage, éventuellement examiner s’il y a lieu de déroger à la zone conformément à l’art. 26 al. 1 LaLAT. À cet effet, il ressort de l’art. 10B du règlement d’application de la loi sur les constructions et les installations diverses du 27 février 1978 (RCI – L 5 05.01) qu’il</w:t>
      </w:r>
    </w:p>
    <w:p>
      <w:r>
        <w:t>- 12/13 - A/3200/2023 y a notamment lieu de joindre à la demande accélérée les plans et documents mentionnés à l’al. 2, uniquement dans la mesure où ils sont nécessaires. Or, prima facie, il n’apparaît pas que tous les documents requis par le département dans son préavis défavorable du 22 mai 2023 soient nécessaires pour instruire la requête de la recourante. En particulier, le plan A04 (établi au 1 :100ème, à l’échelle, côté et être orthonormé), la situation d’étage, l’orientation cardinale, la notification des vides d’étages et le formulaire de la police du feu n’apparaissent pas nécessaires à l’examen. Les plans A02 et A03, soit un plan de base au 1/2500e et un plan cadastral au 1/500e ou 1/250e, (accessibles et téléchargeables sur le site internet https://ge.ch/sitg/) ainsi qu’un plan de l’appartement avec les dimensions côté, des photographies de chaque pièce et le formulaire de l’OCIRT S01 apparaissent suffisants pour procéder à l’analyse. Ces exigences permettraient également de respecter le principe de la proportionnalité. Par ailleurs, il n’apparaît pas non plus nécessaire qu’un MPQ établisse les plans et documents requis (art. 2 al. 3 in fine LCI). S’agissant de la signature du propriétaire, le département veillera à se conformer aux exigences de rang constitutionnel telles qu’elles découlent de l’arrêt du Tribunal fédéral 2C_230/2010 du 12 avril 2011 (consid. 4). En effet, l’art. 17 let. d LProst soumettant le droit du responsable d’une agence d'escorte à la preuve qu'il se trouve au bénéfice de l'accord écrit du propriétaire de l'immeuble destiné à abriter ce commerce a été annulé par notre Haute Cour dans le cadre de son examen abstrait de ladite norme. Cela étant, la recourante ne se plaint pas que le propriétaire de son appartement refuserait de signer la demande d’autorisation de construire. Au contraire, il apparaît que ce dernier approuve le changement d’affectation.</w:t>
      </w:r>
    </w:p>
    <w:p>
      <w:r>
        <w:rPr>
          <w:b/>
        </w:rPr>
        <w:t>E. 41</w:t>
      </w:r>
    </w:p>
    <w:p>
      <w:r>
        <w:t>Il s’ensuit que le recours doit être déclaré irrecevable.</w:t>
      </w:r>
    </w:p>
    <w:p>
      <w:r>
        <w:rPr>
          <w:b/>
        </w:rPr>
        <w:t>E. 42</w:t>
      </w:r>
    </w:p>
    <w:p>
      <w:r>
        <w:t>Le présent jugement rend sans objet les demandes d’octroi de l’effet suspensif au recours, de comparution personnelle et de transport sur place.</w:t>
      </w:r>
    </w:p>
    <w:p>
      <w:r>
        <w:rPr>
          <w:b/>
        </w:rPr>
        <w:t>E. 43</w:t>
      </w:r>
    </w:p>
    <w:p>
      <w:r>
        <w:t>Statuant sur une décision incidente, le présent jugement constitue lui-même une décision incidente (ATF 139 V 600 consid. 2.1) soumise à un délai de recours de dix jours (art. 62 al. 1 let. b LPA).</w:t>
      </w:r>
    </w:p>
    <w:p>
      <w:r>
        <w:rPr>
          <w:b/>
        </w:rPr>
        <w:t>E. 44</w:t>
      </w:r>
    </w:p>
    <w:p>
      <w:r>
        <w:t>En application des art. 87 al. 1 LPA et 1 et 2 du règlement sur les frais, émoluments et indemnités en procédure administrative du 30 juillet 1986 (RFPA - E 5 10.03), la recourante qui succombe est condamné au paiement d’un émolument s'élevant à CHF 500.- ; il est couvert par l’avance de frais de CHF 900.- versée à la suite du dépôt du recours.</w:t>
      </w:r>
    </w:p>
    <w:p>
      <w:r>
        <w:rPr>
          <w:b/>
        </w:rPr>
        <w:t>E. 45</w:t>
      </w:r>
    </w:p>
    <w:p>
      <w:r>
        <w:t>Vu l’issue du litige, aucune indemnité de procédure ne sera allouée (art. 87 al. 2 LPA).</w:t>
      </w:r>
    </w:p>
    <w:p>
      <w:r>
        <w:t>- 13/13 - A/3200/2023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