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JTAPI/480/2021 vom 12. Mai 2016</w:t>
      </w:r>
    </w:p>
    <w:p>
      <w:r>
        <w:t>GE Cour de justice, 2016-05-12, FR</w:t>
      </w:r>
    </w:p>
    <w:p>
      <w:r>
        <w:rPr>
          <w:b/>
        </w:rPr>
        <w:t xml:space="preserve">Quelle: </w:t>
      </w:r>
      <w:r>
        <w:t>https://mcp.opencaselaw.ch/entscheid/ge_gerichte_JTAPI_480_2021</w:t>
      </w:r>
    </w:p>
    <w:p>
      <w:r>
        <w:t>FR: GE_GERICHTE JTAPI/480/2021 du 12 mai 2016</w:t>
      </w:r>
    </w:p>
    <w:p>
      <w:r>
        <w:t>IT: GE_GERICHTE JTAPI/480/2021 del 12 maggio 2016</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par le destinataire de la décision attaquée, le recours est recevable</w:t>
      </w:r>
    </w:p>
    <w:p>
      <w:r>
        <w:t>- 9/13 - A/848/2021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du Nigéria.</w:t>
      </w:r>
    </w:p>
    <w:p>
      <w:r>
        <w:rPr>
          <w:b/>
        </w:rPr>
        <w:t>E. 6</w:t>
      </w:r>
    </w:p>
    <w:p>
      <w:r>
        <w:t>À teneur de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suisse du 21 décembre 1937 (CP - RS 311.0) ou 49a ou 49abis du Code pénal militaire du 13 juin 1927 (CPM) (let. d).</w:t>
      </w:r>
    </w:p>
    <w:p>
      <w:r>
        <w:t>- 10/13 - A/848/2021</w:t>
      </w:r>
    </w:p>
    <w:p>
      <w:r>
        <w:rPr>
          <w:b/>
        </w:rPr>
        <w:t>E. 7</w:t>
      </w:r>
    </w:p>
    <w:p>
      <w:r>
        <w:t>Selon l'art. 64 al. 1 LEI, les autorités compétentes rendent une décision de renvoi ordinaire à l’encontre : a. d’un étranger qui n’a pas d’autorisation alors qu’il y est tenu ; b. d’un étranger qui ne remplit pas ou ne remplit plus les conditions d’entrée en Suisse (art. 5 LEI) ; c. d’un étranger auquel une autorisation est refusée ou dont l’autorisation, bien que requise, est révoquée ou n’est pas prolongée après un séjour autorisé. Le renvoi constitue la conséquence logique et inéluctable, « automatique », du constat que les conditions de l’art. 64 al. 1 LEI sont remplies et vise ainsi à mettre fin à une situation contraire au droit, à savoir l’illégalité de la présence de l’étranger en Suisse (cf. Danièle REVEY n. 3. 1 ad art. 64, p. 620).</w:t>
      </w:r>
    </w:p>
    <w:p>
      <w:r>
        <w:rPr>
          <w:b/>
        </w:rPr>
        <w:t>E. 8</w:t>
      </w:r>
    </w:p>
    <w:p>
      <w:r>
        <w:t>En l’espèce, après avoir vainement tenté d'obtenir la reprise en charge du recourant en Italie en application du règlement Dublin III, afin d'ordonner son renvoi vers cette destination (cf. art. 64a al. 1 LEI), le SEM a chargé l’OCPM de traiter le dossier, relevant désormais de sa compétence, afin qu'il statue sur son sort en application de l'art. 64 al. 1 LEI. Cela étant, même s'il ne remet pas en cause la légalité de son séjour en Suisse, il convient d'observer que, lors de sa dernière entrée sur le territoire, le 20 octobre 2020, le recourant faisait l'objet d'une décision d'interdiction d’entrée en Suisse, valable jusqu’au 18 avril 2022, qui lui avait été notifiée le 23 mai 2019, de sorte qu’il ne remplit clairement pas la condition de l’art. 5 al. 1 let. d LEI. Il n’apparaît pas non plus qu’il disposait alors - et disposerait actuellement - des moyens financiers nécessaires à son séjour (art. 5 al. 1 let. b LEI). À cela s’ajoute qu’entre février 2016 et octobre 2020, il a fait l’objet de six condamnations pénales en Suisse, totalisant cent-trente-cinq jours-amende et trois-cent-soixante jours de peine privative de liberté, notamment en raison d'infractions à l'art. 19 al. 1 LStup, de sorte qu'il peut effectivement être admis qu'il représente une menace pour la sécurité et l’ordre publics. Il s’agit d’ailleurs du motif pour lequel le SEM lui a fait interdiction d’entrer dans le pays en application de l'art. 67 LEI. La condition de l’art. 5 al. 1 let. c LEI n’est ainsi pas non plus réalisée. Partant, c’est à bon droit que l’OCPM a prononcé le renvoi du recourant, qui remplit à l'évidence la condition de l’art. 64 al. 1 let. b LEI.</w:t>
      </w:r>
    </w:p>
    <w:p>
      <w:r>
        <w:rPr>
          <w:b/>
        </w:rPr>
        <w:t>E. 9</w:t>
      </w:r>
    </w:p>
    <w:p>
      <w:r>
        <w:t>La désignation de l'État vers lequel l'étranger est renvoyé relève de l'autorité compétente pour exécuter la décision de renvoi (cf. Danièle REVEY, op. cit., ad art. 69 p. 698 et les références citées), soit, à Genève, la police (cf. art. 5 al. 4 LaLEtr). Si l'étranger a la possibilité de se rendre légalement dans plusieurs Etats, l'autorité compétente peut le renvoyer ou l'expulser dans le pays de son choix (art. 69 al. 2</w:t>
      </w:r>
    </w:p>
    <w:p>
      <w:r>
        <w:t>- 11/13 - A/848/2021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 légalement possible, mais encore concrètement réalisable en temps utile. S'il est déjà possible de renvoyer ou d'expulser l'intéressé vers un Etat déterminé, il n'y a pas lieu d'attendre de l'autorité qu'elle procède à des démarches supplémentaires relatives à une autre destination (cf. Danièle REVEY, op. cit., ad art. 69 p. 698).</w:t>
      </w:r>
    </w:p>
    <w:p>
      <w:r>
        <w:rPr>
          <w:b/>
        </w:rPr>
        <w:t>E. 10</w:t>
      </w:r>
    </w:p>
    <w:p>
      <w:r>
        <w:t>En l’espèce, comme déjà relevé dans la décision du 18 mars 2021 (consid. 9), la désignation du pays vers lequel il sera concrètement procédé au refoulement du recourant relève de l’exécution de la décision de renvoi. Or, il n'apparaît toujours pas que le tribunal serait en soi compétent pour décider et/ou apprécier les modalités de mise en œuvre de celle-ci, qui sont du ressort de la police. Quoi qu'il en soit, on doit faire le constat que dans la mesure où le recourant ne dispose pas d'un titre de séjour ou de tout autre document de voyage valable devant lui permettre d'entrer légalement sur le territoire d'un autre Etat que celui de son pays d'origine, on ne voit pas, à ce stade, vers quelle autre destination que le Nigéria il pourrait être refoulé.</w:t>
      </w:r>
    </w:p>
    <w:p>
      <w:r>
        <w:rPr>
          <w:b/>
        </w:rPr>
        <w:t>E. 11</w:t>
      </w:r>
    </w:p>
    <w:p>
      <w:r>
        <w:t>Pour le surplus, il ne ressort pas du dossier que l’exécution de la mesure de renvoi litigieuse serait impossible, illicite ou qu'elle ne pourrait être raisonnablement exigée (art. 83 LEI), ce que le recourant ne fait au demeurant pas valoir.</w:t>
      </w:r>
    </w:p>
    <w:p>
      <w:r>
        <w:rPr>
          <w:b/>
        </w:rPr>
        <w:t>E. 12</w:t>
      </w:r>
    </w:p>
    <w:p>
      <w:r>
        <w:t>Au vu de ce qui précède, le recours mal fondé, doit être rejeté.</w:t>
      </w:r>
    </w:p>
    <w:p>
      <w:r>
        <w:rPr>
          <w:b/>
        </w:rPr>
        <w:t>E. 13</w:t>
      </w:r>
    </w:p>
    <w:p>
      <w:r>
        <w:t>En application des art. 87 al. 1 LPA et 1 et 2 du règlement sur les frais, émoluments et indemnités en procédure administrative du 30 juillet 1986 (RFPA - E 5 10.03), un émolument de CHF 500.- sera mis à la charge du recourant, qui succombe. Celui-ci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t>- 12/13 - A/848/2021 Enfin, vu l'issue du litige, aucune indemnité de procédure ne lui sera allouée (art. 87 al. 2 LPA a contrario).</w:t>
      </w:r>
    </w:p>
    <w:p>
      <w:r>
        <w:rPr>
          <w:b/>
        </w:rPr>
        <w:t>E. 14</w:t>
      </w:r>
    </w:p>
    <w:p>
      <w:r>
        <w:t>En vertu des art. 89 al. 2 et 111 al. 2 de la loi sur le Tribunal fédéral du 17 juin 2005 (LTF - RS 173.110), le présent jugement sera communiqué au SEM.</w:t>
      </w:r>
    </w:p>
    <w:p>
      <w:r>
        <w:t>- 13/13 - A/848/2021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