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JTAPI/478/2022 vom 28. März 2017</w:t>
      </w:r>
    </w:p>
    <w:p>
      <w:r>
        <w:t>GE Cour de justice, 2017-03-28, FR</w:t>
      </w:r>
    </w:p>
    <w:p>
      <w:r>
        <w:rPr>
          <w:b/>
        </w:rPr>
        <w:t xml:space="preserve">Quelle: </w:t>
      </w:r>
      <w:r>
        <w:t>https://mcp.opencaselaw.ch/entscheid/ge_gerichte_JTAPI_478_2022</w:t>
      </w:r>
    </w:p>
    <w:p>
      <w:r>
        <w:t>FR: GE_GERICHTE JTAPI/478/2022 du 28 mars 2017</w:t>
      </w:r>
    </w:p>
    <w:p>
      <w:r>
        <w:t>IT: GE_GERICHTE JTAPI/478/2022 del 28 marzo 2017</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3.4</w:t>
      </w:r>
    </w:p>
    <w:p>
      <w:r>
        <w:t>; arrêt du Tribunal administratif fédéral C-6237/2012 du 2 mai 2014 consid.</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A titre liminaire, la recourante sollicite la jonction de la présente procédure avec la procédure A/5______.</w:t>
      </w:r>
    </w:p>
    <w:p>
      <w:r>
        <w:rPr>
          <w:b/>
        </w:rPr>
        <w:t>E. 5.4</w:t>
      </w:r>
    </w:p>
    <w:p>
      <w:r>
        <w:t>; ATA/465/2017 du 25 avril 2017). Cela étant, il ne faut enfin pas perdre de vue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F-1714/2016 du 24 février 2017 consid. 5.3 ; F-3298/2017 du 12 mars 2019 consid. 7.3).</w:t>
      </w:r>
    </w:p>
    <w:p>
      <w:r>
        <w:rPr>
          <w:b/>
        </w:rPr>
        <w:t>E. 6</w:t>
      </w:r>
    </w:p>
    <w:p>
      <w:r>
        <w:t>Aux termes de l'art. 70 al. 1 LPA, l'autorité peut, d'office ou sur requête, joindre en une même procédure des affaires qui se rapportent à une situation identique ou à une cause juridique commune.</w:t>
      </w:r>
    </w:p>
    <w:p>
      <w:r>
        <w:rPr>
          <w:b/>
        </w:rPr>
        <w:t>E. 7</w:t>
      </w:r>
    </w:p>
    <w:p>
      <w:r>
        <w:t>En l'espèce, le tribunal a déjà statué dans la cause A/5______, par jugement rendu le 29 juin 2020 (JTAPI/4______) qui fait actuellement l'objet d'un recours auprès de la chambre administrative. La procédure A/5______ n'étant plus inscrite au rôle du tribunal - mais pendante auprès de la juridiction de recours - sa jonction avec la présente procédure n'est donc manifestement plus possible.</w:t>
      </w:r>
    </w:p>
    <w:p>
      <w:r>
        <w:rPr>
          <w:b/>
        </w:rPr>
        <w:t>E. 8</w:t>
      </w:r>
    </w:p>
    <w:p>
      <w:r>
        <w:t>Sur le fond, le recourante conclut à la délivrance d'une autorisation de séjour pour formation professionnelle initiale au sens des art. 30 al.1 let. b LEI et 30a OASA.</w:t>
      </w:r>
    </w:p>
    <w:p>
      <w:r>
        <w:rPr>
          <w:b/>
        </w:rPr>
        <w:t>E. 9</w:t>
      </w:r>
    </w:p>
    <w:p>
      <w:r>
        <w:t>La LEI et ses ordonnances d’exécution, en particulier l’ordonnance relative à l’admission, au séjour et à l’exercice d’une activité lucrative du 24 octobre 2007</w:t>
      </w:r>
    </w:p>
    <w:p>
      <w:r>
        <w:t>- 9/15 - A/4287/2021 (OASA - RS 142.201), règlent l’entrée, le séjour et la sortie des étrangers dont le statut juridique n’est pas réglé par d’autres dispositions du droit fédéral ou par des traités internationaux conclus par la Suisse (art. 1 et 2 LEI), ce qui est le cas pour les ressortissants du Sénégal.</w:t>
      </w:r>
    </w:p>
    <w:p>
      <w:r>
        <w:rPr>
          <w:b/>
        </w:rPr>
        <w:t>E. 10</w:t>
      </w:r>
    </w:p>
    <w:p>
      <w:r>
        <w:t>Les conditions d’entrée d’un étranger en Suisse sont régies par les art. 5 ss LEI. Les dérogations aux prescriptions générales d’admission (art. 18 à 29 LEI) sont énoncées de manière exhaustive à l’art. 30 al. 1 LEI ; il est notamment possible de déroger aux conditions d’admission dans le but de tenir compte des cas individuels d’extrême gravité ou d’intérêts publics majeurs (let. b).</w:t>
      </w:r>
    </w:p>
    <w:p>
      <w:r>
        <w:rPr>
          <w:b/>
        </w:rPr>
        <w:t>E. 11</w:t>
      </w:r>
    </w:p>
    <w:p>
      <w:r>
        <w:t>Il ressort de la formulation de l’art. 30 al. 1 let. b LEI,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ATF 138 II 393 consid. 3.1 et 137 II 345 consid. 3.2.1).</w:t>
      </w:r>
    </w:p>
    <w:p>
      <w:r>
        <w:rPr>
          <w:b/>
        </w:rPr>
        <w:t>E. 12</w:t>
      </w:r>
    </w:p>
    <w:p>
      <w:r>
        <w:t>Aussi, conformément à la pratique et à la jurisprudence constantes en la matière,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(arrêt du Tribunal administratif fédéral F-6658/2018 du 12 mai 2020 consid. 6.4).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(arrêt du Tribunal fédéral 2C_754/2018 du 28 janvier 2019 consid. 7.2 et références citées ; arrêt du Tribunal administratif fédéral F-6658/2018 du 12 mai 2020 consid. 6.5 et références citées).</w:t>
      </w:r>
    </w:p>
    <w:p>
      <w:r>
        <w:rPr>
          <w:b/>
        </w:rPr>
        <w:t>E. 13</w:t>
      </w:r>
    </w:p>
    <w:p>
      <w:r>
        <w:t>Ainsi, l’art. 30 al. 1 let. b LEI n’a pas pour but de soustraire des étrangers aux conditions de vie de leur pays d’origine, mais implique que ceux-ci se trouvent personnellement dans une situation si rigoureuse qu’on ne saurait exiger d’eux</w:t>
      </w:r>
    </w:p>
    <w:p>
      <w:r>
        <w:t>- 10/15 - A/4287/2021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 du Tribunal administratif fédéral F-6616/2017 du 26 novembre 2019 consid. 6.5 et références citées).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F-6322/2016 du 1er mai 2018 consid.4.6 et les références citées ; ATA/1130/2017 du 2 août 2017 consid. 5b). La durée totale du séjour constitue un critère important de reconnaissance d’un cas de rigueur. Il importe cependant de rappeler que selon la jurisprudence applicable en la matière, le simple fait pour un étranger de séjourner en Suisse pendant de longues années ne permet pas d’admettre un cas personnel d’une extrême gravité. En outre, la durée d’un séjour illégal, ainsi qu’un séjour précaire ne doivent normalement pas être pris en considération ou alors seulement dans une mesure très restreinte (arrêt du Tribunal administratif fédéral F-4145/2017 du 10 octobre 2018 consid. 5.1 et les références citées). Par durée assez longue, la jurisprudence entend une période de sept à huit ans (arrêt du Tribunal administratif fédéral C-7330/2010 du 19 mars 2012 ; ATA/1538/2017 du 28 novembre 2017).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2007/16 du 1er juin 2007 et les jurisprudence et doctrine citées). Avec la scolarisation, l’intégration au milieu suisse s’accentue. Dans cette perspective, il convient de tenir compte de l’âge de l’enfant lors de son arrivée en Suisse et au moment où se pose la question</w:t>
      </w:r>
    </w:p>
    <w:p>
      <w:r>
        <w:t>- 11/15 - A/4287/2021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w:t>
      </w:r>
    </w:p>
    <w:p>
      <w:r>
        <w:rPr>
          <w:b/>
        </w:rPr>
        <w:t>E. 14</w:t>
      </w:r>
    </w:p>
    <w:p>
      <w:r>
        <w:t>À teneur de l’art. 30a OASA, afin de permettre à un étranger en séjour irrégulier de suivre une formation professionnelle initiale, une autorisation de séjour peut lui être octroyée pour la durée de la formation aux conditions suivantes: le requérant a suivi l’école obligatoire de manière ininterrompue durant cinq ans au moins en Suisse et a déposé une demande dans les douze mois suivants; la participation à des offres de formation transitoire sans activité lucrative est comptabilisée comme temps de scolarité obligatoire (let. a); l’employeur du requérant a déposé une demande conformément à l’art. 18 let. b LEI (let. b); les conditions de rémunération et de travail visées à l’art. 22 LEI sont respectées (let. c); le requérant remplit les critères d’intégration définis à l’art. 58a al. 1 LEI (let. d); il justifie de son identité (let. f). L’autorisation peut être prolongée au terme de la formation initiale si les conditions visées à l’art. 31 sont remplies (art. 30a al. 2 OASA).</w:t>
      </w:r>
    </w:p>
    <w:p>
      <w:r>
        <w:rPr>
          <w:b/>
        </w:rPr>
        <w:t>E. 15</w:t>
      </w:r>
    </w:p>
    <w:p>
      <w:r>
        <w:t>Selon les Directives et commentaires, Domaine des étrangers édictées par le SEM, version d’octobre 2013, actualisée le 1er mars 2022 (ci-après : directives LEI; ch. 5.6.11), qui, conformément à l’art. 89 OASA, ne lient pas le juge, mais dont celui- ci peut en tenir compte pour assurer une application uniforme de la loi envers chaque administré, pourvu qu’elles respectent le sens et le but de la norme applicable (ATA/1015/2015 du 29 septembre 2015; ATA/450/2014 du 17 juin</w:t>
      </w:r>
    </w:p>
    <w:p>
      <w:r>
        <w:t>- 12/15 - A/4287/2021 2014), « l’art. 30a OASA énonce les critères déterminants à prendre en compte lors de la délivrance d’une autorisation de séjour pour cas de rigueur aux personnes en séjour irrégulier qui désirent effectuer une formation professionnelle initiale et/ou accéder à une offre de formation transitoire nécessitant l'exercice d'une activité lucrative. Tout comme l’art. 31 OASA, il complète la réglementation actuelle relative aux cas de rigueur de la LEI et de la LAsi, mais se rapporte à la situation particulière de la formation professionnelle initiale. Concernant la motion de formation professionnelle initiale (art. 30a al. 1 OASA), bien que la LFPr admette le cumul de plusieurs formations professionnelles initiales, l’art. 30a OASA ne s'applique qu'à la première formation suivie. Les personnes qui désirent poursuivre leur formation peuvent déposer une demande d'autorisation de séjour pour cas de rigueur ordinaire en vertu des dispositions actuelles régissant les cas de rigueur (voir l’art. 30a al. 2 OASA et ch. 5.6.11.5).</w:t>
      </w:r>
    </w:p>
    <w:p>
      <w:r>
        <w:rPr>
          <w:b/>
        </w:rPr>
        <w:t>E. 16</w:t>
      </w:r>
    </w:p>
    <w:p>
      <w:r>
        <w:t>Les offres de formation transitoires sont des mesures mises sur pied pour préparer les jeunes en fin de scolarité obligatoire à une formation professionnelle initiale (formation professionnelle initiale en 2, 3 ou 4 ans, école de commerce, école des métiers) ou à accéder à une formation scolaire de degré II. Il s'agit de formations qui ne font pas partie de l'école obligatoire et qui impliquent pour certaines une activité lucrative de 2 à 3 jours par semaine (ex.: stages, semestres de motivation, préapprentissages). Les personnes qui désirent fréquenter entre la fin de l'école obligatoire et le début de leur formation professionnelle initiale des offres de formation transitoire impliquant l’exercice d’une activité lucrative doivent déposer une demande d’autorisation de séjour pour cas de rigueur et remplir les conditions de l’art. 30a OASA. La participation à de telles offres est comprise dans la première phrase de l'al. 1 « permettre une formation professionnelle initiale. L’autorité cantonale compétente soumet la demande pour approbation au SEM (cf. ch. 1.3.2 let. d). L’autorisation initiale de séjour est en principe octroyée pour une période d’une année au plus (art. 58 OASA). Si la formation prend fin de façon prématurée, une nouvelle autorisation de séjour doit être sollicitée (art. 54 OASA) ».</w:t>
      </w:r>
    </w:p>
    <w:p>
      <w:r>
        <w:rPr>
          <w:b/>
        </w:rPr>
        <w:t>E. 17</w:t>
      </w:r>
    </w:p>
    <w:p>
      <w:r>
        <w:t>Il sied enfin de rappeler que dans le cadre de l’exercice de leur pouvoir d’appréciation, les autorités compétentes doivent tenir compte des intérêts publics, de la situation personnelle de l’étranger, ainsi que de son degré d’intégration (art. 96 al. 1 LEI). Sauf prescription particulière de la loi ou d’un traité international, l’étranger n’a donc en principe aucun droit à la délivrance et au renouvellement d’un permis de séjour pour cas de rigueur.</w:t>
      </w:r>
    </w:p>
    <w:p>
      <w:r>
        <w:rPr>
          <w:b/>
        </w:rPr>
        <w:t>E. 18</w:t>
      </w:r>
    </w:p>
    <w:p>
      <w:r>
        <w:t>En l'espèce, il ressort de pièces produites que la recourante a sollicité, par demande datée du 31 août 2021, la délivrance d'une autorisation de séjour pour formation initiale au sens des art. 30 al. 1 let. b LEI et 30a OASA, faisant valoir qu'elle était inscrite auprès de F______ pour suivre une formation professionnelle initiale en « Commerce et Marketing », du 7 septembre 2020 au 24 juin 2021.</w:t>
      </w:r>
    </w:p>
    <w:p>
      <w:r>
        <w:t>- 13/15 - A/4287/2021 Elle a cependant interrompu cette formation, qui est restée inachevée, suite à son exclusion des cours, dès le 11 janvier 2021, faute de paiement de l'écolage dû à F______. Force est dès lors de constater que la nouvelle formation qu'elle entend suivre auprès de G______, de même que le stage pré-requis qu'elle a commencé à cette fin, ne remplissent pas la condition de formation « initiale », soit de première formation faisant suite à la fin de la formation scolaire obligatoire au sens de l'art. 30a OASA. Enfin, comme indiqué dans les directives LEI précitées, bien que la loi sur la LFPr admette le cumul de plusieurs formations professionnelles initiales, l’art. 30a OASA ne s'applique qu'à la première formation suivie. Les personnes qui désirent poursuivre leur formation peuvent déposer une demande d'autorisation de séjour pour cas de rigueur ordinaire en vertu des dispositions actuelles régissant les cas de rigueur. Au vu de ces circonstances, l'appréciation que l'autorité intimée a faite de la situation de la recourante en rejetant sa demande sous l'angle des art. 30 al. 1 let. b LEI et 30a OASA ne prête aucunement le flanc à la critique. Dans ces conditions, le tribunal, qui doit faire preuve de retenue et respecter la latitude de jugement conférée à l'OCPM, ne saurait en corriger le résultat en fonction d'une autre conception, sauf à statuer en opportunité, ce que la loi lui interdit de faire (art. 61 al. 2 LPA ; cf. aussi ATF 140 I 201 consid. 6.1 et les références citées).</w:t>
      </w:r>
    </w:p>
    <w:p>
      <w:r>
        <w:rPr>
          <w:b/>
        </w:rPr>
        <w:t>E. 19</w:t>
      </w:r>
    </w:p>
    <w:p>
      <w:r>
        <w:t>Pour le surplus, par jugement du 29 juin 2020 (JTAPI/4______), confirmant la décision de l’OCPM du 9 mai 2019 qui refusait de préaviser favorablement la demande d'autorisation de séjour de la recourante et prononçait son renvoi, en dépit de la durée de son séjour et de la bonne intégration en Suisse dont elle se prévalait, a déjà considéré que la situation de cette dernière n'était pas constitutive d'un cas de rigueur personnel, notamment sous l'angle de l'opération Papyrus (art. 30 al. 1 let. b LEI et 31 OASA). Un recours étant actuellement pendant contre ce jugement, il appartient désormais à la chambre administrative de se prononcer sur ce point.</w:t>
      </w:r>
    </w:p>
    <w:p>
      <w:r>
        <w:rPr>
          <w:b/>
        </w:rPr>
        <w:t>E. 20</w:t>
      </w:r>
    </w:p>
    <w:p>
      <w:r>
        <w:t>Compte tenu de ce qui précède, le recours, mal fondé, doit être rejeté.</w:t>
      </w:r>
    </w:p>
    <w:p>
      <w:r>
        <w:rPr>
          <w:b/>
        </w:rPr>
        <w:t>E. 21</w:t>
      </w:r>
    </w:p>
    <w:p>
      <w:r>
        <w:t>Vu cette issue, un émolument de CHF 500.- sera mis à la charge de la recourante, qui succombe (art. 87 al. 1 LPA et 1 et 2 du règlement sur les frais, émoluments et indemnités en procédure administrative du 30 juillet 1986 - RFPA - E 5 10.03). Cette dernière n'a pas droit à une indemnité de procédure (art. 87 al. 2 LPA a contrario).</w:t>
      </w:r>
    </w:p>
    <w:p>
      <w:r>
        <w:rPr>
          <w:b/>
        </w:rPr>
        <w:t>E. 22</w:t>
      </w:r>
    </w:p>
    <w:p>
      <w:r>
        <w:t>En vertu des art. 89 al. 2 et 111 al. 2 de la loi sur le Tribunal fédéral du 17 juin 2005 (LTF - RS 173.110), le présent jugement sera communiqué au SEM.</w:t>
      </w:r>
    </w:p>
    <w:p>
      <w:r>
        <w:t>- 14/15 - A/4287/2021</w:t>
      </w:r>
    </w:p>
    <w:p>
      <w:r>
        <w:t>- 15/15 - A/4287/2021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