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JTAPI/474/2024 vom 10. Mai 2024</w:t>
      </w:r>
    </w:p>
    <w:p>
      <w:r>
        <w:t>GE Cour de justice, 2024-05-10, FR</w:t>
      </w:r>
    </w:p>
    <w:p>
      <w:r>
        <w:rPr>
          <w:b/>
        </w:rPr>
        <w:t xml:space="preserve">Quelle: </w:t>
      </w:r>
      <w:r>
        <w:t>https://mcp.opencaselaw.ch/entscheid/ge_gerichte_JTAPI_474_2024</w:t>
      </w:r>
    </w:p>
    <w:p>
      <w:r>
        <w:t>FR: GE_GERICHTE JTAPI/474/2024 du 10 mai 2024</w:t>
      </w:r>
    </w:p>
    <w:p>
      <w:r>
        <w:t>IT: GE_GERICHTE JTAPI/474/2024 del 10 maggio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w:t>
      </w:r>
    </w:p>
    <w:p>
      <w:r>
        <w:t>- 6/8 - A/1642/2024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quand bien même M. B______ a accepté que Mme A______ revienne au domicile qu'ils partagent et malgré le fait qu'ils cohabitent donc depuis le jour où a été prononcée la décision litigieuse, ce qui constitue, de la part de Mme A______, une infraction à l'art. 292 du Code pénal suisse du 21 décembre 1937 (CP - RS 311.0), la présente cause n'apparaît pas devenue sans objet. En effet, la décision litigieuse a tout de même joué un rôle d'apaisement de la situation, puisque si de nouvelles disputes ont débuté durant cette période, elles ont rapidement pris fin lorsque M. B______ a menacé Mme A______ d'appeler la police. Mme A______ a d'ailleurs implicitement admis qu'il en était allé ainsi, indiquant qu'elle se retrouvait forcée d'adopter l'attitude que souhaitait M. B______.</w:t>
      </w:r>
    </w:p>
    <w:p>
      <w:r>
        <w:rPr>
          <w:b/>
        </w:rPr>
        <w:t>E. 6</w:t>
      </w:r>
    </w:p>
    <w:p>
      <w:r>
        <w:t>Il subsiste donc, tant que la mesure est censée durer, un intérêt actuel à trancher la question de savoir si elle a été prononcée conformément à la loi. A cet égard, il sied de souligner que la requête en cessation de trouble dont Mme A______ a saisi le Tribunal de première instance ne joue aucun rôle sous l'angle de la présente procédure. En effet, seule importe en l'occurrence la question de savoir si l'autorité intimée a correctement évalué le danger que Mme A______ était supposée constituer pour M. B______.</w:t>
      </w:r>
    </w:p>
    <w:p>
      <w:r>
        <w:rPr>
          <w:b/>
        </w:rPr>
        <w:t>E. 7</w:t>
      </w:r>
    </w:p>
    <w:p>
      <w:r>
        <w:t>Tel est bien le cas. En effet, nonobstant ses dénégations, il paraît hautement vraisemblable que Mme A______ a menacé M. B______ à l'aide d'un couteau, dans la mesure où la vidéo montrée par M. B______ durant l'audience, datée de 2022, la montre également tenant à la main un couteau dont elle est ensuite désarmée par le précité. D'autres violences ont vraisemblablement eu lieu par le passé, comme l'indiquent les documents relatifs à la blessure subie par M. B______ le 26</w:t>
      </w:r>
    </w:p>
    <w:p>
      <w:r>
        <w:t>- 7/8 - A/1642/2024 décembre 2021. A cet égard, outre qu'il paraîtrait très étonnant que cette blessure ait été occasionnée par un chien, comme l'affirme Mme A______, on a beaucoup de mal à admettre qu'après un accident de ce genre, M. B______ se serait rendu à l'hôpital en décrivant en détail une scène de violence commise par Mme A______. Il est d'ailleurs frappant qu'il ait indiqué à cette occasion que la précitée avait jeté certaines de ses affaires par la fenêtre, alors que c'est précisément ce qui s'est (à nouveau) passé le 9 mai 2024. Le tribunal relèvera encore les propos menaçants tenus par Mme A______ lors de son audition par la police, s'agissant du fait qu'elle allait retourner chez elle et casser au marteau les affaires de M. B______. Même en admettant qu'il s'agissait d'une "manière de parler", comme l'a expliqué Mme A______ devant le tribunal, cela montre à tout le moins que cette dernière n'était pas en mesure de maîtriser sa violence verbale, même devant des policiers. Enfin, même si Mme A______ considère devoir se plier aux règles de M. B______ depuis qu'elle est retournée à leur domicile, il n'en demeure pas moins que la possibilité pour ce dernier d'évoquer une nouvelle intervention policière semble avoir suffi jusqu'ici pour empêcher de nouveaux actes de violences, signe que les débordements de ce type proviennent de Mme A______ plutôt que de M. B______.</w:t>
      </w:r>
    </w:p>
    <w:p>
      <w:r>
        <w:rPr>
          <w:b/>
        </w:rPr>
        <w:t>E. 8</w:t>
      </w:r>
    </w:p>
    <w:p>
      <w:r>
        <w:t>Pour toutes ces raisons, la décision litigieuse paraît parfaitement fondée, de même qu'elle l'est sous l'angle du principe de proportionnalité, s'agissant d'une durée de</w:t>
      </w:r>
    </w:p>
    <w:p>
      <w:r>
        <w:rPr>
          <w:b/>
        </w:rPr>
        <w:t>E. 10</w:t>
      </w:r>
    </w:p>
    <w:p>
      <w:r>
        <w:t>Cela étant, le tribunal ne peut que relever la très grande difficulté dans laquelle se trouvent Mme A______ et M. B______ de poursuivre leur cohabitation, qui se poursuit difficilement déjà depuis de nombreuses années et semble atteindre aujourd'hui un nouveau degré de pénibilité. C'est le lieu de souligner que même en cas de nouvelles violences, la LVD ne constitue pas une solution à long terme, puisqu'une mesure d'éloignement prononcée sur la base de cette loi ne peut durer que durant 90 jours au maximum.</w:t>
      </w:r>
    </w:p>
    <w:p>
      <w:r>
        <w:rPr>
          <w:b/>
        </w:rPr>
        <w:t>E. 11</w:t>
      </w:r>
    </w:p>
    <w:p>
      <w:r>
        <w:t>Il ne sera pas perçu d'émolument (art. 87 al. 1 LPA).</w:t>
      </w:r>
    </w:p>
    <w:p>
      <w:r>
        <w:rPr>
          <w:b/>
        </w:rPr>
        <w:t>E. 12</w:t>
      </w:r>
    </w:p>
    <w:p>
      <w:r>
        <w:t>Un éventuel recours déposé contre le présent jugement n'aura pas d'effet suspensif (art. 11 al. 1 LVD ; rapport rendu le 1er juin 2010 par la commission judiciaire et de la police chargée d'étudier le PL 10582, p. 17).</w:t>
      </w:r>
    </w:p>
    <w:p>
      <w:r>
        <w:t>- 8/8 - A/1642/2024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