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JTAPI/467/2022 vom 24. September 2012</w:t>
      </w:r>
    </w:p>
    <w:p>
      <w:r>
        <w:t>GE Cour de justice, 2012-09-24, FR</w:t>
      </w:r>
    </w:p>
    <w:p>
      <w:r>
        <w:rPr>
          <w:b/>
        </w:rPr>
        <w:t xml:space="preserve">Quelle: </w:t>
      </w:r>
      <w:r>
        <w:t>https://mcp.opencaselaw.ch/entscheid/ge_gerichte_JTAPI_467_2022</w:t>
      </w:r>
    </w:p>
    <w:p>
      <w:r>
        <w:t>FR: GE_GERICHTE JTAPI/467/2022 du 24 septembre 2012</w:t>
      </w:r>
    </w:p>
    <w:p>
      <w:r>
        <w:t>IT: GE_GERICHTE JTAPI/467/2022 del 24 settembre 2012</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par le destinataire de la décision querellée, le recours est recevable (art. 57, 60 et 62 à 65 LPA). 3. Le recourant sollicite la comparution personnelle des parties. Or, il ne dispose pas d'un droit à l'accomplissement d'un tel acte d'instruction (cf. not. art. 41 in fine LPA ; ATF 140 I 68 consid. 9.6.1 ; 134 I 140 consid. 5.3 ; 130 II 425 consid. 2.1 ; arrêts du Tribunal fédéral 5D_204/2016 du 15 mars 2017 consid. 4.4 ; 5A_792/2016 du 23 janvier 2017 consid. 3.4 ; 6B_594/2015 du 29 février 2016 consid. 2.1 ; ATA/1637/2017 du 19 décembre 2017 consid. 3d), lequel n'apparaît au demeurant pas nécessaire en l'occurrence, le dossier contenant déjà tous les éléments utiles permettant au tribunal de statuer en connaissance de cause sur le litige (cf. à cet égard not. ATF 145 I 167 consid. 4.1 ; 140 I 285 consid. 6.3.1 et les arrêts cités ; arrêts du Tribunal fédéral 2C_725/2019 du 12 septembre 2019 consid. 4.1 ; 1C_212/2018 du 24 avril 2019 consid. 4.1 ; 2C_1125/2018 du</w:t>
      </w:r>
    </w:p>
    <w:p>
      <w:r>
        <w:rPr>
          <w:b/>
        </w:rPr>
        <w:t>E. 7</w:t>
      </w:r>
    </w:p>
    <w:p>
      <w:r>
        <w:t>janvier 2019 consid. 5.1). 4.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(cf. art. 48 al. 1 let. b LPA) ou lorsqu'il existe un cas de révision (cf.</w:t>
      </w:r>
    </w:p>
    <w:p>
      <w:r>
        <w:t>- 9/14 - A/3526/2021 art. 48 al. 1 let. a LPA),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2D_25/2020 du 14 septembre 2020 consid. 3.2 ; 2C_203/2020 du 8 mai 2020 consid. 4.2 ; 2C_862/2018 du 15 janvier 2019 consid. 3.1 ; 2C_556/2018 du 14 novembre 2018 consid. 3).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(arrêts du Tribunal fédéral 2D_25/2020 du 14 septembre 2020 consid. 3.2 ; 2C_203/2020 du</w:t>
      </w:r>
    </w:p>
    <w:p>
      <w:r>
        <w:rPr>
          <w:b/>
        </w:rPr>
        <w:t>E. 8</w:t>
      </w:r>
    </w:p>
    <w:p>
      <w:r>
        <w:t>mai 2020 consid. 4.3 ; 2C_862/2018 du 15 janvier 2019 consid. 3.1 ; 2C_556/2018 du 14 novembre 2018 consid. 3 ; 2C_198/2018 du 25 juin 2018 consid. 3.3 et les références citées). 5. En vertu de l’art. 48 al. 1 let. b LPA, dont l’application est seule envisageable en l’espèce,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w:t>
      </w:r>
    </w:p>
    <w:p>
      <w:r>
        <w:rPr>
          <w:b/>
        </w:rPr>
        <w:t>E. 13</w:t>
      </w:r>
    </w:p>
    <w:p>
      <w:r>
        <w:t>En vertu des art. 89 al. 2 et 111 al. 2 de la loi sur le Tribunal fédéral du 17 juin 2005 (LTF - RS 173.110), le présent jugement sera communiqué au SEM.</w:t>
      </w:r>
    </w:p>
    <w:p>
      <w:r>
        <w:t>- 14/14 - A/3526/2021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