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JTAPI/466/2024 vom 16. Mai 2024</w:t>
      </w:r>
    </w:p>
    <w:p>
      <w:r>
        <w:t>GE Cour de justice, 2024-05-16, FR</w:t>
      </w:r>
    </w:p>
    <w:p>
      <w:r>
        <w:rPr>
          <w:b/>
        </w:rPr>
        <w:t xml:space="preserve">Quelle: </w:t>
      </w:r>
      <w:r>
        <w:t>https://mcp.opencaselaw.ch/entscheid/ge_gerichte_JTAPI_466_2024</w:t>
      </w:r>
    </w:p>
    <w:p>
      <w:r>
        <w:t>FR: GE_GERICHTE JTAPI/466/2024 du 16 mai 2024</w:t>
      </w:r>
    </w:p>
    <w:p>
      <w:r>
        <w:t>IT: GE_GERICHTE JTAPI/466/2024 del 16 maggio 2024</w:t>
      </w:r>
    </w:p>
    <w:p>
      <w:pPr>
        <w:pStyle w:val="Heading2"/>
      </w:pPr>
      <w:r>
        <w:t>Erwägungen</w:t>
      </w:r>
    </w:p>
    <w:p>
      <w:r>
        <w:rPr>
          <w:b/>
        </w:rPr>
        <w:t>E. 28</w:t>
      </w:r>
    </w:p>
    <w:p>
      <w:r>
        <w:t>Au vu de ce qui précède, l’autorité intimée n’a ni violé le droit, ni excédé son pouvoir d’appréciation en considérant que la condition de l’intérêt économique du</w:t>
      </w:r>
    </w:p>
    <w:p>
      <w:r>
        <w:t>- 15/16 - A/3024/2023 pays n’était pas réalisée et que, partant, le permis contingenté sollicité ne pouvait pas être accordé, étant rappelé que, compte tenu de l’exiguïté des contingents du canton de Genève (92 permis B en 2023), la commission tripartite est contrainte de ne retenir que les demandes qui se démarquent par un fort intérêt économique, ce qui n’est pas le cas en l’espèce.</w:t>
      </w:r>
    </w:p>
    <w:p>
      <w:r>
        <w:rPr>
          <w:b/>
        </w:rPr>
        <w:t>E. 29</w:t>
      </w:r>
    </w:p>
    <w:p>
      <w:r>
        <w:t>La première condition cumulative de l’art. 19 LEI n’étant pas réalisée, il n’est pas nécessaire d’examiner les autres conditions prévues par cette disposition.</w:t>
      </w:r>
    </w:p>
    <w:p>
      <w:r>
        <w:rPr>
          <w:b/>
        </w:rPr>
        <w:t>E. 30</w:t>
      </w:r>
    </w:p>
    <w:p>
      <w:r>
        <w:t>En conclusion, mal fondé, le recours sera rejeté et la décision contestée confirmée.</w:t>
      </w:r>
    </w:p>
    <w:p>
      <w:r>
        <w:rPr>
          <w:b/>
        </w:rPr>
        <w:t>E. 31</w:t>
      </w:r>
    </w:p>
    <w:p>
      <w:r>
        <w:t>En application des art. 87 al. 1 LPA et 1 et 2 du règlement sur les frais, émoluments et indemnités en procédure administrative du 30 juillet 1986 (RFPA - E 5 10.03), le recourant, qui succombe, est condamné au paiement d’un émolument s’élevant à CHF 700.- ; il est partiellement couvert par l’avance de frais de CHF 500.- versée à la suite du dépôt du recours. Vu l’issue du litige, aucune indemnité de procédure ne sera allouée (art. 87 al. 2 LPA).</w:t>
      </w:r>
    </w:p>
    <w:p>
      <w:r>
        <w:rPr>
          <w:b/>
        </w:rPr>
        <w:t>E. 32</w:t>
      </w:r>
    </w:p>
    <w:p>
      <w:r>
        <w:t>En vertu des art. 89 al. 2 et 111 al. 2 de la loi sur le Tribunal fédéral du 17 juin 2005 (LTF - RS 173.110), le présent jugement sera communiqué au SEM.</w:t>
      </w:r>
    </w:p>
    <w:p>
      <w:r>
        <w:t>- 16/16 - A/3024/2023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