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JTAPI/463/2025 vom 10. März 2014</w:t>
      </w:r>
    </w:p>
    <w:p>
      <w:r>
        <w:t>GE Cour de justice, 2014-03-10, FR</w:t>
      </w:r>
    </w:p>
    <w:p>
      <w:r>
        <w:rPr>
          <w:b/>
        </w:rPr>
        <w:t xml:space="preserve">Quelle: </w:t>
      </w:r>
      <w:r>
        <w:t>https://mcp.opencaselaw.ch/entscheid/ge_gerichte_JTAPI_463_2025</w:t>
      </w:r>
    </w:p>
    <w:p>
      <w:r>
        <w:t>FR: GE_GERICHTE JTAPI/463/2025 du 10 mars 2014</w:t>
      </w:r>
    </w:p>
    <w:p>
      <w:r>
        <w:t>IT: GE_GERICHTE JTAPI/463/2025 del 10 marzo 2014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 mai 2025 à 16h45.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3.1</w:t>
      </w:r>
    </w:p>
    <w:p>
      <w:r>
        <w:t>; 2C_756/2009 du 15 décembre 2009 consid. 2.1).</w:t>
      </w:r>
    </w:p>
    <w:p>
      <w:r>
        <w:rPr>
          <w:b/>
        </w:rPr>
        <w:t>E. 3.3</w:t>
      </w:r>
    </w:p>
    <w:p>
      <w:r>
        <w:t>; 2C_806/2010 du 21 octobre 2010 consid. 2.1 ; 2C_400/2009 du 16 juillet 2009 consid. 3.1).</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w:t>
      </w:r>
    </w:p>
    <w:p>
      <w:r>
        <w:t>- 5/8 - A/1516/2025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w:t>
      </w:r>
    </w:p>
    <w:p>
      <w:r>
        <w:t>- 6/8 - A/1516/2025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En l’espèce, M. A______ fait l’objet d’une expulsion de Suisse pour une durée de 5 ans prononcée à son encontre par le Tribunal de police le 17 février 2020, à laquelle il ne s’est à ce jour pas conformé, ayant confirmé à l’audience du 5 mai 2025 ne jamais avoir quitté la Suisse. Il a par ailleurs fait l’objet de nombreuses condamnations pour vol, soit une infraction qualifiée de crime. Il a indiqué n’avoir ni domicile ni lieu de résidence fixe et ne disposer d’aucune source de revenu. Il n’a par ailleurs aucune attache à Genève. Vu les infractions commises, l'assurance de son départ effectif répond à un intérêt public certain. De plus, les autorités suisses doivent s'assurer du fait qu'il quittera effectivement le territoire à destination de l’Algérie et toute autre mesure moins incisive que la détention administrative serait vaine pour assurer sa présence lorsqu’il devra être emmené à bord du vol sur lequel une place lui aura été réservée ; le fait que, lors de l’audience devant le tribunal, il se soit déclaré d’accord de repartir en Algérie à la condition d’être remis en liberté, ne peut, au vu du comportement qu’il a adopté depuis de nombreuses années, être retenu comme un garantie de son engagement à quitter le territoire et permettre de retenir que la détention administrative ne serait pas justifiée. Il sera rappelé que depuis le prononcé de la mesure d’expulsion, il n’a entrepris aucune démarche pour quitter la Suisse et a encore indiqué le 5 mai 2025 craindre pour sa vie en cas de retour. Par conséquent, il appert que les conditions légales de la détention administrative de M. A______ sont clairement réalisées.</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11</w:t>
      </w:r>
    </w:p>
    <w:p>
      <w:r>
        <w:t>En l’espèce, les autorités ont agi avec diligence et célérité dès lors qu’elles ont présenté l’intéressé aux autorités algériennes le 30 avril 2025 et sont maintenant dans l’attente de la délivrance d’un laissez-passer permettant ensuite la réservation</w:t>
      </w:r>
    </w:p>
    <w:p>
      <w:r>
        <w:t>- 7/8 - A/1516/2025 d’une place sur un vol, étant précisé qu’au vu du refus systématique de M. A______ de quitter le territoire suisse – sauf ce jour en audience lorsqu’il a conditionné son accord à sa remise en liberté – le renvoi devra se faire avec escorte policière.</w:t>
      </w:r>
    </w:p>
    <w:p>
      <w:r>
        <w:rPr>
          <w:b/>
        </w:rPr>
        <w:t>E. 12</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Dans tous les cas, la durée de la détention doit être proportionnée par rapport aux circonstances d'espèce (arrêts du Tribunal fédéral 2C_18/2016 du 2 février 2016 consid. 4.2 ; 2C_218/2013 du 26 mars 2013 consid. 2.3).</w:t>
      </w:r>
    </w:p>
    <w:p>
      <w:r>
        <w:rPr>
          <w:b/>
        </w:rPr>
        <w:t>E. 13</w:t>
      </w:r>
    </w:p>
    <w:p>
      <w:r>
        <w:t>En l’espèce, la durée de la détention requise, de quatre mois, n'apparaît pas d'emblée disproportionnée au vu des démarches encore en cours et du risque non négligeable que M. A______ s’oppose à son renvoi en Algérie le jour J. Cas échéant, les autorités disposeraient ainsi du temps nécessaire pour organiser un nouveau renvoi.</w:t>
      </w:r>
    </w:p>
    <w:p>
      <w:r>
        <w:rPr>
          <w:b/>
        </w:rPr>
        <w:t>E. 14</w:t>
      </w:r>
    </w:p>
    <w:p>
      <w:r>
        <w:t>Au vu de ce qui précède, il y a lieu de confirmer l'ordre de mise en détention administrative de M. A______ pour une durée de quatre mois.</w:t>
      </w:r>
    </w:p>
    <w:p>
      <w:r>
        <w:rPr>
          <w:b/>
        </w:rPr>
        <w:t>E. 15</w:t>
      </w:r>
    </w:p>
    <w:p>
      <w:r>
        <w:t>Le tribunal soulignera que l’intéressé, par l’intermédiaire de son conseil, peut prendre contact avec le commissaire de police afin d’organisation la récupération de ses éventuels effets encore présents au Foyer C______.</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A/1516/2025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