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JTAPI/463/2021 vom 12. Mai 2021</w:t>
      </w:r>
    </w:p>
    <w:p>
      <w:r>
        <w:t>GE Cour de justice, 2021-05-12, FR</w:t>
      </w:r>
    </w:p>
    <w:p>
      <w:r>
        <w:rPr>
          <w:b/>
        </w:rPr>
        <w:t xml:space="preserve">Quelle: </w:t>
      </w:r>
      <w:r>
        <w:t>https://mcp.opencaselaw.ch/entscheid/ge_gerichte_JTAPI_463_2021</w:t>
      </w:r>
    </w:p>
    <w:p>
      <w:r>
        <w:t>FR: GE_GERICHTE JTAPI/463/2021 du 12 mai 2021</w:t>
      </w:r>
    </w:p>
    <w:p>
      <w:r>
        <w:t>IT: GE_GERICHTE JTAPI/463/2021 del 12 maggio 2021</w:t>
      </w:r>
    </w:p>
    <w:p>
      <w:pPr>
        <w:pStyle w:val="Heading2"/>
      </w:pPr>
      <w:r>
        <w:t>Erwägungen</w:t>
      </w:r>
    </w:p>
    <w:p>
      <w:r>
        <w:rPr>
          <w:b/>
        </w:rPr>
        <w:t>E. 1</w:t>
      </w:r>
    </w:p>
    <w:p>
      <w:r>
        <w:t>Le tribunal connaît des recours dirigés, comme en l’espèce, contre les décisions sur réclamation de l’AFC-GE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sous l’angle des art. 49 LPFisc et 140 LIFD.</w:t>
      </w:r>
    </w:p>
    <w:p>
      <w:r>
        <w:rPr>
          <w:b/>
        </w:rPr>
        <w:t>E. 3</w:t>
      </w:r>
    </w:p>
    <w:p>
      <w:r>
        <w:t>Dans ses écritures, l’AFC-GE a accepté d’annuler les reprises portant sur l’avoir sur le compte au C______ (CHF 64'122.-), la valeur des titres des D______ et E______ (CHF 2'193.- et CHF 3'675'600.-), l’abandon de créance (CHF 138’134.- ) et les revenus y relatifs. Il convient de lui en donner acte. La recourante quant à elle ne conteste plus les reprises relatives à son assurance-vie H______. Ces points ne sont ainsi plus litigieux.</w:t>
      </w:r>
    </w:p>
    <w:p>
      <w:r>
        <w:rPr>
          <w:b/>
        </w:rPr>
        <w:t>E. 4</w:t>
      </w:r>
    </w:p>
    <w:p>
      <w:r>
        <w:t>Le litige concerne en partie une période antérieure au 1er janvier 2010, de sorte que se pose la question du droit applicable.</w:t>
      </w:r>
    </w:p>
    <w:p>
      <w:r>
        <w:rPr>
          <w:b/>
        </w:rPr>
        <w:t>E. 5</w:t>
      </w:r>
    </w:p>
    <w:p>
      <w:r>
        <w:t>La loi sur l'imposition des personnes physiques du 27 septembre 2009 (LIPP - D 3 08), s'applique dès la période fiscale 2010, les périodes antérieures étant régies par l'ancien droit (art. 72 al. 1 LIPP), soit les cinq anciennes lois sur l'imposition des personnes physiques (aLIPP-I à V). De jurisprudence constante, les questions de</w:t>
      </w:r>
    </w:p>
    <w:p>
      <w:r>
        <w:t>- 8/12 - A/2096/2020 droit matériel sont résolues par le droit en vigueur au cours des périodes fiscales litigieuses (arrêts du Tribunal fédéral 2C_874/2018 du 17 avril 2019 consid. 4 ; 2C_11/2018 du 10 décembre 2018consid. 4 ; 2C_760/2017 du 15 juin 2018 consid. 3 et les références ; ATA/379/2018 du 24 avril 2018).</w:t>
      </w:r>
    </w:p>
    <w:p>
      <w:r>
        <w:rPr>
          <w:b/>
        </w:rPr>
        <w:t>E. 6</w:t>
      </w:r>
    </w:p>
    <w:p>
      <w:r>
        <w:t>La présente cause porte sur les périodes fiscales 2008 à 2012. Elle est ainsi régie par le droit en vigueur durant chacune de ces périodes, à savoir les dispositions de l'ancien droit cantonal (aLIPP-I à V ; années fiscales 2008 et 2009), de la LIPP (années fiscales 2010 à 2012), de la LIFD, entrée en vigueur le 1er janvier 1995, et de la LPFisc, entrée en vigueur le 1er janvier 2002.</w:t>
      </w:r>
    </w:p>
    <w:p>
      <w:r>
        <w:rPr>
          <w:b/>
        </w:rPr>
        <w:t>E. 7</w:t>
      </w:r>
    </w:p>
    <w:p>
      <w:r>
        <w:t>La recourante conteste l’imposition de l’immeuble sis en Espagne au motif qu’elle n’était pas inscrite au registre foncier de ce pays en qualité de propriétaire de ce bien, en raison du litige l’opposant à son beau-fils, et qu’elle ne pouvait donc en disposer ni en jouir au cours des années 2008 à 2012.</w:t>
      </w:r>
    </w:p>
    <w:p>
      <w:r>
        <w:rPr>
          <w:b/>
        </w:rPr>
        <w:t>E. 8</w:t>
      </w:r>
    </w:p>
    <w:p>
      <w:r>
        <w:t>Il convient de constater en premier lieu, à toutes fins utiles et en tant que de besoin, que dans la mesure où elle concerne ce bien immobilier, l’ouverture de la procédure de rappel d’impôt est en soi parfaitement justifiée dans son principe, la recourante ne l’ayant pas mentionné dans ses déclarations fiscales 2008 à 2012, de sorte que lors des taxations initiales l’AFC-GE ne disposait d’aucune indication lui permettant de se rendre compte de son existence (cf. art. 151 LIFD et 59 LPFisc ; cf. à ce sujet not. arrêts du Tribunal fédéral 2C_416/2013 du 5 novembre 2013 consid. 8.1 ; 2C_1225/2012 du 7 juin 2013 consid. 3.1 ; 2C_104/2008 du 20 juin 2008 consid. 3.3).</w:t>
      </w:r>
    </w:p>
    <w:p>
      <w:r>
        <w:rPr>
          <w:b/>
        </w:rPr>
        <w:t>E. 9</w:t>
      </w:r>
    </w:p>
    <w:p>
      <w:r>
        <w:t>Les immeubles sont soumis à l'impôt sur la fortune (art. 47 LIPP), à la valeur vénale qu'ils ont au 31 décembre de l'année pour laquelle cet impôt est dû (cf. art. 49 al. 1 et 2 LIPP). Les valeurs fiscale et locative des immeubles sis à l'étranger n'entrent en considération que pour la détermination du taux d'impôt sur la fortune, respectivement sur le revenu (cf. art. 7 al. 1 LIFD et 6 al. 1 LIPP), dès lors que l'assujettissement illimité aux impôts en Suisse ne s’étend pas à ces immeubles (cf. art. 6 al. 1 LIFD et 5 al. 1 LIPP ; cf. arrêt du Tribunal fédéral 2C_137/2019 du 23 janvier 2020 consid. 5.1 et les arrêts cités). Pour les immeubles situés dans des pays ne connaissant pas le principe de la valeur locative, comme en l’espèce, la jurisprudence a déjà admis la conformité de la méthode forfaitaire de calcul de la valeur locative - telle que prévue dans l'information n° 0/1991 du 1er février 1991 de l’AFC-GE - avec le droit fédéral et le principe d'égalité de traitement. Selon cette méthode, la valeur locative d’un bien correspond à 4,5 % de sa valeur fiscale (cf. arrêt du Tribunal fédéral 2C_137/2019 du 23 janvier 2020 consid. 5.1 et l’arrêt cité).</w:t>
      </w:r>
    </w:p>
    <w:p>
      <w:r>
        <w:t>- 9/12 - A/2096/2020</w:t>
      </w:r>
    </w:p>
    <w:p>
      <w:r>
        <w:t>La valeur locative d'une maison de vacances ne se calcule pas en fonction de son utilisation effective ; elle ne peut être réduite proportionnellement qu'au cas où l'utilisation de la maison est pratiquement impossible une partie de l'année (arrêt du Tribunal fédéral 2C_829/2016, 2C_830/2016 du 10 mai 2017 consid. 8.1 et les références citées).</w:t>
      </w:r>
    </w:p>
    <w:p>
      <w:r>
        <w:t>Il y a un usage personnel lorsque le propriétaire habite effectivement sa maison, mais également lorsqu'il s'en réserve l'usage dans un autre but (Nicolas MERLINO in Yves NOËL/Florence AUBRY GIRARDIN, Commentaire romand de la loi fédérale sur l'impôt fédéral direct, 2017, ad. art. 21 LIFD n. 91). Dans ce cas également, il « a droit » à l'appartement, car il peut l'occuper lui-même en tout temps. Il est imposable sur l'avantage économique ainsi assuré. C'est par sa volonté de garder l'appartement à sa libre disposition qu'il s'est assuré cet avantage (ATF 75 I 246 consid. 1 ; RDAF 1950, 174). Cette volonté fait défaut - et il n'y a pas d'imposition de la valeur locative - lorsque, par exemple, l'appartement ne reste vide que parce que le propriétaire ne trouve pas de locataire (ATF 72 I 223 ; RDAF 1947, 17), ou lorsqu'une maison ne reste vide que parce que l'immeuble est destiné à être vendu (ATF 75 I 249 ; RDAF 1950, 174). La valeur locative est en revanche imposée si l'immeuble est laissé vide mais que le propriétaire se laisse la possibilité d'y loger (arrêt du Tribunal fédéral 2C_182/2015 ; Nicolas MERLINO, op. cit., ad art. 21 LIFD n. 98).</w:t>
      </w:r>
    </w:p>
    <w:p>
      <w:r>
        <w:rPr>
          <w:b/>
        </w:rPr>
        <w:t>E. 10</w:t>
      </w:r>
    </w:p>
    <w:p>
      <w:r>
        <w:t>Aux termes des art. 10 al. 1 LIFD, 9 LIPP-I et 9 al. 1 LIPP, chacun des héritiers doit ajouter à ses propres éléments imposables sa part de revenu et de fortune de l'hoirie. Ainsi, le fait qu'un partage n'ait pas encore eu lieu n'empêche pas l'imposition d'un contribuable sur sa part indivise dans une succession, même s’il n'a pu effectivement en bénéficier qu'après le partage (cf. JTAPI/536/2014 du 12 mai 2014 consid. 7). Chacun des hoirs, associés, commanditaires et participants paie les impôts sur la part de capital et de revenu à laquelle il a droit dans l’hoirie (art. 10 al. 1 LIFD et 11 al. 1 LIPP).</w:t>
      </w:r>
    </w:p>
    <w:p>
      <w:r>
        <w:rPr>
          <w:b/>
        </w:rPr>
        <w:t>E. 11</w:t>
      </w:r>
    </w:p>
    <w:p>
      <w:r>
        <w:t>La recourante n’indique pas les dispositions du droit espagnol régissant l’acquisition d’immeubles par succession, ni ne prétend que ce droit devrait s’appliquer en l’espèce. A cet égard, il convient de rappeler que le droit étranger, sauf exception (cf. art. 16 LDIP), ne doit pas être établi d'office (cf. arrêt du tribunal fédéral 2C_486/2020 du 19 janvier 2021 consid. 6.5). Il n'est dès lors pas démontré qu'il y aurait lieu de s'écarter de la solution retenue en droit suisse, telle qu'elle résulte des dispositions et de la jurisprudence ci-après. À teneur de l'art. 656 al. 1 CC, l'inscription au registre foncier est nécessaire pour l'acquisition de la propriété foncière. L'art. 656 al. 2 CC prévoit néanmoins que celui qui acquiert un immeuble par occupation, succession, expropriation, exécution forcée ou jugement en devient propriétaire avant l'inscription, mais il n'en peut disposer dans le registre foncier</w:t>
      </w:r>
    </w:p>
    <w:p>
      <w:r>
        <w:t>- 10/12 - A/2096/2020 qu'après que l'inscription audit registre a été remplie. Dans un arrêt récent (arrêt 2C_793/2019 du 22 janvier 2020), le Tribunal fédéral a rappelé qu'en pareil cas, l'inscription au registre foncier a un caractère déclaratif (arrêt 1P.639/2004 du 19 avril 2005 consid. 3.5).</w:t>
      </w:r>
    </w:p>
    <w:p>
      <w:r>
        <w:rPr>
          <w:b/>
        </w:rPr>
        <w:t>E. 12</w:t>
      </w:r>
    </w:p>
    <w:p>
      <w:r>
        <w:t>En l’espèce, la recourante ne conteste pas avoir effectivement hérité (en 2004) de la moitié de l’immeuble litigieux. Elle devait donc indiquer la valeur de cette part dans les déclarations fiscales concernées, comme elle l’a du reste fait dans celle qu’elle a déposée pour l’année 2013 (CHF 60'000.-). En vertu des art. 10 al. 1 LIFD, 9 LIPP-I et 9 al. 1 LIPP, cette valeur faisait en effet partie de son assiette fiscale dès le décès de feu son époux, nonobstant le fait que la succession de celui- ci n’était pas encore partagée et qu’elle n’était pas inscrite au registre foncier espagnol en qualité de copropriétaire de ce bien. En outre, aucune analogie ne peut être faite avec la situation de l'usufruit ou du droit d'habitation, dès lors qu'il n'y a eu en l'espèce aucun transfert d'usage ou de jouissance du bien immobilier. Enfin, la recourante ne prétend pas, ni ne démontre, que l’appartement en question aurait été inhabitable au cours des années fiscales litigieuses. Le fait qu’il aurait fait l’objet du séquestre, ce qui au vu du dossier n’apparaît pas être le cas, et qu’elle ne l’aurait pas occupé en raison de querelles l’opposant à son beau-fils, n’est en soi pas suffisant pour admettre que son occupation était impossible. Ainsi, rien ne permet de considérer que sa valeur locative et/ou fiscale devrait être nulle. Dans ces conditions, la reprise litigieuse ne peut être que confirmée dans son principe. Pour le surplus, la recourante ne remet pas en cause en tant que tels les montants que l’AFC-GE a retenus au titre de la valeur fiscale (CHF 60'000.-) et de la valeur locative (4,5 % de ce montant) pour cet immeuble, étant précisé que, ce faisant, elle a appliqué aux deux valeurs un abattement de 40 % et qu’elle ne les a - à juste titre - prises en compte que pour le taux d’imposition.</w:t>
      </w:r>
    </w:p>
    <w:p>
      <w:r>
        <w:rPr>
          <w:b/>
        </w:rPr>
        <w:t>E. 13</w:t>
      </w:r>
    </w:p>
    <w:p>
      <w:r>
        <w:t>Au vu de ce qui précède, le recours sera admis partiellement, dans la mesure concédée par l’AFC-GE, et le dossier renvoyé à celle-ci pour nouveaux bordereaux de rappel des ICC et IFD 2008 à 2012.</w:t>
      </w:r>
    </w:p>
    <w:p>
      <w:r>
        <w:rPr>
          <w:b/>
        </w:rPr>
        <w:t>E. 14</w:t>
      </w:r>
    </w:p>
    <w:p>
      <w:r>
        <w:t>Vu cette issue, un émolument réduit de CHF 500.- sera mis à la charge de la recourante, qui n’obtient que partiellement gain de cause (art. 144 al. 1 LIFD et 52 al. 1 LPFisc). Il est couvert par l'avance de frais de CHF 1’000.- versée à l'ouverture du recours.</w:t>
      </w:r>
    </w:p>
    <w:p>
      <w:r>
        <w:rPr>
          <w:b/>
        </w:rPr>
        <w:t>E. 16</w:t>
      </w:r>
    </w:p>
    <w:p>
      <w:r>
        <w:t>Le solde de l'avance de frais, soit CHF 500.-, sera restitué à la recourante. La recourante ayant eu recours aux services d'un conseil pour les besoins de la cause et ayant conclu à l'allocation d'une indemnité de procédure, il lui sera alloué, à la charge de l'autorité intimée (cf. art. 4 LPFisc), une indemnité de procédure de CHF 500.-, comprenant une participation aux honoraires dudit</w:t>
      </w:r>
    </w:p>
    <w:p>
      <w:r>
        <w:t>- 11/12 - A/2096/2020 mandataire (art. 87 al. 2 à 4 de la loi sur la procédure administrative du 12 septembre 1985 - LPA - E 5 10 - cum art. 2 al. 2 LPFisc).</w:t>
      </w:r>
    </w:p>
    <w:p>
      <w:r>
        <w:t>- 12/12 - A/2096/2020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